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4" w:type="dxa"/>
        <w:tblLayout w:type="fixed"/>
        <w:tblLook w:val="0000" w:firstRow="0" w:lastRow="0" w:firstColumn="0" w:lastColumn="0" w:noHBand="0" w:noVBand="0"/>
      </w:tblPr>
      <w:tblGrid>
        <w:gridCol w:w="3544"/>
        <w:gridCol w:w="5880"/>
      </w:tblGrid>
      <w:tr w:rsidR="00760EC3" w:rsidRPr="005B64BC" w14:paraId="6EC5B761" w14:textId="77777777" w:rsidTr="004264CA">
        <w:trPr>
          <w:trHeight w:val="1276"/>
        </w:trPr>
        <w:tc>
          <w:tcPr>
            <w:tcW w:w="3544" w:type="dxa"/>
          </w:tcPr>
          <w:p w14:paraId="351B299F" w14:textId="18102881" w:rsidR="00760EC3" w:rsidRPr="005B64BC" w:rsidRDefault="00B205B7" w:rsidP="00C73AC4">
            <w:pPr>
              <w:keepNext/>
              <w:widowControl w:val="0"/>
              <w:spacing w:after="0" w:line="240" w:lineRule="auto"/>
              <w:jc w:val="center"/>
              <w:outlineLvl w:val="1"/>
              <w:rPr>
                <w:rFonts w:ascii="Times New Roman" w:eastAsia="Times New Roman" w:hAnsi="Times New Roman" w:cs="Times New Roman"/>
                <w:color w:val="000000"/>
                <w:sz w:val="26"/>
                <w:szCs w:val="26"/>
                <w:lang w:val="fr-FR"/>
              </w:rPr>
            </w:pPr>
            <w:r w:rsidRPr="005B64BC">
              <w:rPr>
                <w:rFonts w:ascii="Times New Roman" w:eastAsia="Times New Roman" w:hAnsi="Times New Roman" w:cs="Times New Roman"/>
                <w:color w:val="000000"/>
                <w:sz w:val="26"/>
                <w:szCs w:val="26"/>
                <w:lang w:val="fr-FR"/>
              </w:rPr>
              <w:t>QUỐC HỘI KHÓA XV</w:t>
            </w:r>
          </w:p>
          <w:p w14:paraId="6E188D6E" w14:textId="385B87D9" w:rsidR="00760EC3" w:rsidRPr="005B64BC" w:rsidRDefault="00B205B7" w:rsidP="00C73AC4">
            <w:pPr>
              <w:widowControl w:val="0"/>
              <w:spacing w:after="0" w:line="240" w:lineRule="auto"/>
              <w:jc w:val="center"/>
              <w:rPr>
                <w:rFonts w:ascii="Times New Roman" w:eastAsia="Times New Roman" w:hAnsi="Times New Roman" w:cs="Times New Roman"/>
                <w:b/>
                <w:color w:val="000000"/>
                <w:sz w:val="26"/>
                <w:szCs w:val="26"/>
                <w:lang w:val="fr-FR"/>
              </w:rPr>
            </w:pPr>
            <w:r w:rsidRPr="005B64BC">
              <w:rPr>
                <w:rFonts w:ascii="Times New Roman" w:eastAsia="Times New Roman" w:hAnsi="Times New Roman" w:cs="Times New Roman"/>
                <w:b/>
                <w:color w:val="000000"/>
                <w:sz w:val="26"/>
                <w:szCs w:val="26"/>
                <w:lang w:val="fr-FR"/>
              </w:rPr>
              <w:t>ỦY BAN TƯ PHÁP</w:t>
            </w:r>
          </w:p>
          <w:p w14:paraId="3EF6988B" w14:textId="6353AAD7" w:rsidR="00760EC3" w:rsidRPr="005B64BC" w:rsidRDefault="00760EC3" w:rsidP="00C73AC4">
            <w:pPr>
              <w:widowControl w:val="0"/>
              <w:spacing w:after="0" w:line="240" w:lineRule="auto"/>
              <w:rPr>
                <w:rFonts w:ascii="Times New Roman" w:eastAsia="Times New Roman" w:hAnsi="Times New Roman" w:cs="Times New Roman"/>
                <w:color w:val="000000"/>
                <w:sz w:val="24"/>
                <w:szCs w:val="24"/>
                <w:lang w:val="fr-FR"/>
              </w:rPr>
            </w:pPr>
            <w:r w:rsidRPr="005B64BC">
              <w:rPr>
                <w:rFonts w:ascii="Times New Roman" w:eastAsia="Times New Roman" w:hAnsi="Times New Roman" w:cs="Times New Roman"/>
                <w:noProof/>
                <w:sz w:val="24"/>
                <w:szCs w:val="24"/>
                <w:lang w:val="en-US"/>
              </w:rPr>
              <mc:AlternateContent>
                <mc:Choice Requires="wps">
                  <w:drawing>
                    <wp:anchor distT="4294967294" distB="4294967294" distL="114300" distR="114300" simplePos="0" relativeHeight="251659264" behindDoc="0" locked="0" layoutInCell="1" allowOverlap="1" wp14:anchorId="7063CE20" wp14:editId="3726B753">
                      <wp:simplePos x="0" y="0"/>
                      <wp:positionH relativeFrom="column">
                        <wp:posOffset>686435</wp:posOffset>
                      </wp:positionH>
                      <wp:positionV relativeFrom="paragraph">
                        <wp:posOffset>24764</wp:posOffset>
                      </wp:positionV>
                      <wp:extent cx="685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2EA947"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05pt,1.95pt" to="10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"/>
                  </w:pict>
                </mc:Fallback>
              </mc:AlternateContent>
            </w:r>
          </w:p>
          <w:p w14:paraId="1546CF69" w14:textId="6FB72A04" w:rsidR="00760EC3" w:rsidRPr="005B64BC" w:rsidRDefault="00B205B7" w:rsidP="00C73AC4">
            <w:pPr>
              <w:widowControl w:val="0"/>
              <w:spacing w:after="0" w:line="240" w:lineRule="auto"/>
              <w:jc w:val="center"/>
              <w:rPr>
                <w:rFonts w:ascii="Times New Roman" w:eastAsia="Times New Roman" w:hAnsi="Times New Roman" w:cs="Times New Roman"/>
                <w:iCs/>
                <w:color w:val="000000"/>
                <w:sz w:val="26"/>
                <w:szCs w:val="26"/>
                <w:lang w:val="fr-FR"/>
              </w:rPr>
            </w:pPr>
            <w:r w:rsidRPr="005B64BC">
              <w:rPr>
                <w:rFonts w:ascii="Times New Roman" w:eastAsia="Times New Roman" w:hAnsi="Times New Roman" w:cs="Times New Roman"/>
                <w:iCs/>
                <w:color w:val="000000"/>
                <w:sz w:val="26"/>
                <w:szCs w:val="26"/>
                <w:lang w:val="fr-FR"/>
              </w:rPr>
              <w:t>Số</w:t>
            </w:r>
            <w:r w:rsidR="002618A9">
              <w:rPr>
                <w:rFonts w:ascii="Times New Roman" w:eastAsia="Times New Roman" w:hAnsi="Times New Roman" w:cs="Times New Roman"/>
                <w:iCs/>
                <w:color w:val="000000"/>
                <w:sz w:val="26"/>
                <w:szCs w:val="26"/>
                <w:lang w:val="fr-FR"/>
              </w:rPr>
              <w:t>: 4846</w:t>
            </w:r>
            <w:r w:rsidRPr="005B64BC">
              <w:rPr>
                <w:rFonts w:ascii="Times New Roman" w:eastAsia="Times New Roman" w:hAnsi="Times New Roman" w:cs="Times New Roman"/>
                <w:iCs/>
                <w:color w:val="000000"/>
                <w:sz w:val="26"/>
                <w:szCs w:val="26"/>
                <w:lang w:val="fr-FR"/>
              </w:rPr>
              <w:t>/BC-UBTP15</w:t>
            </w:r>
          </w:p>
          <w:p w14:paraId="588FAA7D" w14:textId="77777777" w:rsidR="00760EC3" w:rsidRPr="005B64BC" w:rsidRDefault="00760EC3" w:rsidP="00C73AC4">
            <w:pPr>
              <w:widowControl w:val="0"/>
              <w:spacing w:after="0" w:line="240" w:lineRule="auto"/>
              <w:jc w:val="center"/>
              <w:rPr>
                <w:rFonts w:ascii="Times New Roman" w:eastAsia="Times New Roman" w:hAnsi="Times New Roman" w:cs="Times New Roman"/>
                <w:bCs/>
                <w:color w:val="000000"/>
                <w:sz w:val="26"/>
                <w:szCs w:val="26"/>
                <w:lang w:val="fr-FR"/>
              </w:rPr>
            </w:pPr>
          </w:p>
        </w:tc>
        <w:tc>
          <w:tcPr>
            <w:tcW w:w="5880" w:type="dxa"/>
          </w:tcPr>
          <w:p w14:paraId="1A8C51DB" w14:textId="77777777" w:rsidR="00760EC3" w:rsidRPr="005B64BC" w:rsidRDefault="00760EC3" w:rsidP="00C73AC4">
            <w:pPr>
              <w:keepNext/>
              <w:widowControl w:val="0"/>
              <w:spacing w:after="0" w:line="300" w:lineRule="exact"/>
              <w:jc w:val="center"/>
              <w:outlineLvl w:val="0"/>
              <w:rPr>
                <w:rFonts w:ascii="Times New Roman" w:eastAsia="Times New Roman" w:hAnsi="Times New Roman" w:cs="Times New Roman"/>
                <w:b/>
                <w:color w:val="000000"/>
                <w:sz w:val="26"/>
                <w:szCs w:val="26"/>
                <w:lang w:val="fr-FR"/>
              </w:rPr>
            </w:pPr>
            <w:r w:rsidRPr="005B64BC">
              <w:rPr>
                <w:rFonts w:ascii="Times New Roman" w:eastAsia="Times New Roman" w:hAnsi="Times New Roman" w:cs="Times New Roman"/>
                <w:b/>
                <w:color w:val="000000"/>
                <w:sz w:val="26"/>
                <w:szCs w:val="26"/>
                <w:lang w:val="fr-FR"/>
              </w:rPr>
              <w:t>CỘNG HÒA XÃ HỘI CHỦ NGHĨA VIỆT NAM</w:t>
            </w:r>
          </w:p>
          <w:p w14:paraId="142D0D3C" w14:textId="77777777" w:rsidR="00760EC3" w:rsidRPr="005B64BC" w:rsidRDefault="00760EC3" w:rsidP="00C73AC4">
            <w:pPr>
              <w:widowControl w:val="0"/>
              <w:spacing w:after="0" w:line="300" w:lineRule="exact"/>
              <w:jc w:val="center"/>
              <w:rPr>
                <w:rFonts w:ascii="Times New Roman" w:eastAsia="Times New Roman" w:hAnsi="Times New Roman" w:cs="Times New Roman"/>
                <w:b/>
                <w:bCs/>
                <w:color w:val="000000"/>
                <w:sz w:val="28"/>
                <w:szCs w:val="28"/>
                <w:lang w:val="fr-FR"/>
              </w:rPr>
            </w:pPr>
            <w:r w:rsidRPr="005B64BC">
              <w:rPr>
                <w:rFonts w:ascii="Times New Roman" w:eastAsia="Times New Roman" w:hAnsi="Times New Roman" w:cs="Times New Roman"/>
                <w:b/>
                <w:bCs/>
                <w:color w:val="000000"/>
                <w:sz w:val="28"/>
                <w:szCs w:val="28"/>
                <w:lang w:val="fr-FR"/>
              </w:rPr>
              <w:t>Độc lập - Tự do - Hạnh phúc</w:t>
            </w:r>
          </w:p>
          <w:p w14:paraId="1F618600" w14:textId="48ED969E" w:rsidR="00760EC3" w:rsidRPr="005B64BC" w:rsidRDefault="00760EC3" w:rsidP="00C73AC4">
            <w:pPr>
              <w:widowControl w:val="0"/>
              <w:spacing w:after="0" w:line="300" w:lineRule="exact"/>
              <w:jc w:val="center"/>
              <w:rPr>
                <w:rFonts w:ascii="Times New Roman" w:eastAsia="Times New Roman" w:hAnsi="Times New Roman" w:cs="Times New Roman"/>
                <w:b/>
                <w:bCs/>
                <w:color w:val="000000"/>
                <w:sz w:val="24"/>
                <w:szCs w:val="24"/>
                <w:lang w:val="fr-FR"/>
              </w:rPr>
            </w:pPr>
            <w:r w:rsidRPr="005B64BC">
              <w:rPr>
                <w:rFonts w:ascii="Times New Roman" w:eastAsia="Times New Roman" w:hAnsi="Times New Roman" w:cs="Times New Roman"/>
                <w:noProof/>
                <w:sz w:val="24"/>
                <w:szCs w:val="24"/>
                <w:lang w:val="en-US"/>
              </w:rPr>
              <mc:AlternateContent>
                <mc:Choice Requires="wps">
                  <w:drawing>
                    <wp:anchor distT="4294967294" distB="4294967294" distL="114300" distR="114300" simplePos="0" relativeHeight="251660288" behindDoc="0" locked="0" layoutInCell="1" allowOverlap="1" wp14:anchorId="3FE7A7BF" wp14:editId="12371F3F">
                      <wp:simplePos x="0" y="0"/>
                      <wp:positionH relativeFrom="column">
                        <wp:posOffset>782320</wp:posOffset>
                      </wp:positionH>
                      <wp:positionV relativeFrom="paragraph">
                        <wp:posOffset>36991</wp:posOffset>
                      </wp:positionV>
                      <wp:extent cx="2057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E3EF2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pt,2.9pt" to="22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"/>
                  </w:pict>
                </mc:Fallback>
              </mc:AlternateContent>
            </w:r>
          </w:p>
          <w:p w14:paraId="7B5E613F" w14:textId="43A2D27D" w:rsidR="00760EC3" w:rsidRPr="005B64BC" w:rsidRDefault="00760EC3" w:rsidP="00C73AC4">
            <w:pPr>
              <w:keepNext/>
              <w:widowControl w:val="0"/>
              <w:spacing w:after="0" w:line="300" w:lineRule="exact"/>
              <w:jc w:val="center"/>
              <w:outlineLvl w:val="2"/>
              <w:rPr>
                <w:rFonts w:ascii="Times New Roman" w:eastAsia="Times New Roman" w:hAnsi="Times New Roman" w:cs="Times New Roman"/>
                <w:i/>
                <w:color w:val="000000"/>
                <w:sz w:val="28"/>
                <w:szCs w:val="28"/>
                <w:lang w:val="fr-FR"/>
              </w:rPr>
            </w:pPr>
            <w:r w:rsidRPr="005B64BC">
              <w:rPr>
                <w:rFonts w:ascii="Times New Roman" w:eastAsia="Times New Roman" w:hAnsi="Times New Roman" w:cs="Times New Roman"/>
                <w:i/>
                <w:color w:val="000000"/>
                <w:sz w:val="28"/>
                <w:szCs w:val="20"/>
                <w:lang w:val="fr-FR"/>
              </w:rPr>
              <w:t xml:space="preserve">   Hà Nội, ngày</w:t>
            </w:r>
            <w:r w:rsidR="00BC535B">
              <w:rPr>
                <w:rFonts w:ascii="Times New Roman" w:eastAsia="Times New Roman" w:hAnsi="Times New Roman" w:cs="Times New Roman"/>
                <w:i/>
                <w:color w:val="000000"/>
                <w:sz w:val="28"/>
                <w:szCs w:val="20"/>
                <w:lang w:val="fr-FR"/>
              </w:rPr>
              <w:t xml:space="preserve"> 05 </w:t>
            </w:r>
            <w:r w:rsidRPr="005B64BC">
              <w:rPr>
                <w:rFonts w:ascii="Times New Roman" w:eastAsia="Times New Roman" w:hAnsi="Times New Roman" w:cs="Times New Roman"/>
                <w:i/>
                <w:color w:val="000000"/>
                <w:sz w:val="28"/>
                <w:szCs w:val="20"/>
                <w:lang w:val="fr-FR"/>
              </w:rPr>
              <w:t>tháng 0</w:t>
            </w:r>
            <w:r w:rsidR="00B205B7" w:rsidRPr="005B64BC">
              <w:rPr>
                <w:rFonts w:ascii="Times New Roman" w:eastAsia="Times New Roman" w:hAnsi="Times New Roman" w:cs="Times New Roman"/>
                <w:i/>
                <w:color w:val="000000"/>
                <w:sz w:val="28"/>
                <w:szCs w:val="20"/>
                <w:lang w:val="fr-FR"/>
              </w:rPr>
              <w:t>2</w:t>
            </w:r>
            <w:r w:rsidRPr="005B64BC">
              <w:rPr>
                <w:rFonts w:ascii="Times New Roman" w:eastAsia="Times New Roman" w:hAnsi="Times New Roman" w:cs="Times New Roman"/>
                <w:i/>
                <w:color w:val="000000"/>
                <w:sz w:val="28"/>
                <w:szCs w:val="20"/>
                <w:lang w:val="fr-FR"/>
              </w:rPr>
              <w:t xml:space="preserve"> năm 202</w:t>
            </w:r>
            <w:r w:rsidR="00AE05D2">
              <w:rPr>
                <w:rFonts w:ascii="Times New Roman" w:eastAsia="Times New Roman" w:hAnsi="Times New Roman" w:cs="Times New Roman"/>
                <w:i/>
                <w:color w:val="000000"/>
                <w:sz w:val="28"/>
                <w:szCs w:val="20"/>
                <w:lang w:val="fr-FR"/>
              </w:rPr>
              <w:t>5</w:t>
            </w:r>
          </w:p>
        </w:tc>
      </w:tr>
    </w:tbl>
    <w:p w14:paraId="3218EA11" w14:textId="77777777" w:rsidR="00760EC3" w:rsidRPr="005B64BC" w:rsidRDefault="00760EC3" w:rsidP="00CD2229">
      <w:pPr>
        <w:widowControl w:val="0"/>
        <w:spacing w:after="0" w:line="340" w:lineRule="exact"/>
        <w:ind w:right="259"/>
        <w:rPr>
          <w:rFonts w:ascii="Times New Roman" w:eastAsia="Times New Roman" w:hAnsi="Times New Roman" w:cs="Times New Roman"/>
          <w:b/>
          <w:bCs/>
          <w:color w:val="000000"/>
          <w:sz w:val="28"/>
          <w:szCs w:val="28"/>
          <w:lang w:val="fr-FR"/>
        </w:rPr>
      </w:pPr>
    </w:p>
    <w:p w14:paraId="00D86253" w14:textId="7AAE89BD" w:rsidR="00760EC3" w:rsidRPr="005B64BC" w:rsidRDefault="00435F8C" w:rsidP="00C73AC4">
      <w:pPr>
        <w:widowControl w:val="0"/>
        <w:spacing w:after="0" w:line="340" w:lineRule="exact"/>
        <w:ind w:right="261"/>
        <w:jc w:val="center"/>
        <w:rPr>
          <w:rFonts w:ascii="Times New Roman" w:eastAsia="Times New Roman" w:hAnsi="Times New Roman" w:cs="Times New Roman"/>
          <w:b/>
          <w:bCs/>
          <w:color w:val="000000"/>
          <w:sz w:val="28"/>
          <w:szCs w:val="28"/>
          <w:lang w:val="fr-FR"/>
        </w:rPr>
      </w:pPr>
      <w:r w:rsidRPr="005B64BC">
        <w:rPr>
          <w:rFonts w:ascii="Times New Roman" w:eastAsia="Times New Roman" w:hAnsi="Times New Roman" w:cs="Times New Roman"/>
          <w:b/>
          <w:bCs/>
          <w:color w:val="000000"/>
          <w:sz w:val="28"/>
          <w:szCs w:val="28"/>
          <w:lang w:val="fr-FR"/>
        </w:rPr>
        <w:t xml:space="preserve">BÁO CÁO </w:t>
      </w:r>
    </w:p>
    <w:p w14:paraId="7BE09A7C" w14:textId="77777777" w:rsidR="00CA622F" w:rsidRDefault="00B205B7" w:rsidP="00A6187D">
      <w:pPr>
        <w:widowControl w:val="0"/>
        <w:spacing w:after="0" w:line="340" w:lineRule="exact"/>
        <w:ind w:right="261"/>
        <w:jc w:val="center"/>
        <w:rPr>
          <w:rFonts w:ascii="Times New Roman" w:eastAsia="Times New Roman" w:hAnsi="Times New Roman" w:cs="Times New Roman"/>
          <w:b/>
          <w:bCs/>
          <w:color w:val="000000"/>
          <w:sz w:val="28"/>
          <w:szCs w:val="28"/>
          <w:lang w:val="fr-FR"/>
        </w:rPr>
      </w:pPr>
      <w:r w:rsidRPr="005B64BC">
        <w:rPr>
          <w:rFonts w:ascii="Times New Roman" w:eastAsia="Times New Roman" w:hAnsi="Times New Roman" w:cs="Times New Roman"/>
          <w:b/>
          <w:bCs/>
          <w:color w:val="000000"/>
          <w:sz w:val="28"/>
          <w:szCs w:val="28"/>
          <w:lang w:val="fr-FR"/>
        </w:rPr>
        <w:t xml:space="preserve">Thẩm tra </w:t>
      </w:r>
      <w:r w:rsidR="00417470" w:rsidRPr="005B64BC">
        <w:rPr>
          <w:rFonts w:ascii="Times New Roman" w:eastAsia="Times New Roman" w:hAnsi="Times New Roman" w:cs="Times New Roman"/>
          <w:b/>
          <w:bCs/>
          <w:color w:val="000000"/>
          <w:sz w:val="28"/>
          <w:szCs w:val="28"/>
          <w:lang w:val="fr-FR"/>
        </w:rPr>
        <w:t xml:space="preserve">Tờ trình của Viện trưởng </w:t>
      </w:r>
      <w:r w:rsidR="00FF4879" w:rsidRPr="005B64BC">
        <w:rPr>
          <w:rFonts w:ascii="Times New Roman" w:eastAsia="Times New Roman" w:hAnsi="Times New Roman" w:cs="Times New Roman"/>
          <w:b/>
          <w:bCs/>
          <w:color w:val="000000"/>
          <w:sz w:val="28"/>
          <w:szCs w:val="28"/>
          <w:lang w:val="fr-FR"/>
        </w:rPr>
        <w:t>Viện kiểm sát nhân dân tối cao</w:t>
      </w:r>
      <w:r w:rsidR="00417470" w:rsidRPr="005B64BC">
        <w:rPr>
          <w:rFonts w:ascii="Times New Roman" w:eastAsia="Times New Roman" w:hAnsi="Times New Roman" w:cs="Times New Roman"/>
          <w:b/>
          <w:bCs/>
          <w:color w:val="000000"/>
          <w:sz w:val="28"/>
          <w:szCs w:val="28"/>
          <w:lang w:val="fr-FR"/>
        </w:rPr>
        <w:t xml:space="preserve"> </w:t>
      </w:r>
    </w:p>
    <w:p w14:paraId="2136EE4F" w14:textId="77777777" w:rsidR="00CA622F" w:rsidRDefault="00A6187D" w:rsidP="00A6187D">
      <w:pPr>
        <w:widowControl w:val="0"/>
        <w:spacing w:after="0" w:line="340" w:lineRule="exact"/>
        <w:ind w:right="261"/>
        <w:jc w:val="center"/>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color w:val="000000"/>
          <w:sz w:val="28"/>
          <w:szCs w:val="28"/>
          <w:lang w:val="fr-FR"/>
        </w:rPr>
        <w:t>đ</w:t>
      </w:r>
      <w:r w:rsidR="00CB0CAD">
        <w:rPr>
          <w:rFonts w:ascii="Times New Roman" w:eastAsia="Times New Roman" w:hAnsi="Times New Roman" w:cs="Times New Roman"/>
          <w:b/>
          <w:bCs/>
          <w:color w:val="000000"/>
          <w:sz w:val="28"/>
          <w:szCs w:val="28"/>
          <w:lang w:val="fr-FR"/>
        </w:rPr>
        <w:t>ề nghị Ủy ban Thường vụ Quốc hội</w:t>
      </w:r>
      <w:r w:rsidR="00BC535B" w:rsidRPr="00BC535B">
        <w:rPr>
          <w:rFonts w:ascii="Times New Roman" w:eastAsia="Times New Roman" w:hAnsi="Times New Roman" w:cs="Times New Roman"/>
          <w:b/>
          <w:bCs/>
          <w:color w:val="000000"/>
          <w:sz w:val="28"/>
          <w:szCs w:val="28"/>
          <w:lang w:val="fr-FR"/>
        </w:rPr>
        <w:t xml:space="preserve"> phê chuẩn bộ máy làm việc </w:t>
      </w:r>
    </w:p>
    <w:p w14:paraId="347D66E8" w14:textId="53611142" w:rsidR="008E4921" w:rsidRPr="005B64BC" w:rsidRDefault="00BC535B" w:rsidP="00CA622F">
      <w:pPr>
        <w:widowControl w:val="0"/>
        <w:spacing w:after="0" w:line="340" w:lineRule="exact"/>
        <w:ind w:right="261"/>
        <w:jc w:val="center"/>
        <w:rPr>
          <w:rFonts w:ascii="Times New Roman" w:eastAsia="Times New Roman" w:hAnsi="Times New Roman" w:cs="Times New Roman"/>
          <w:b/>
          <w:bCs/>
          <w:color w:val="000000"/>
          <w:sz w:val="28"/>
          <w:szCs w:val="28"/>
          <w:lang w:val="fr-FR"/>
        </w:rPr>
      </w:pPr>
      <w:r w:rsidRPr="00BC535B">
        <w:rPr>
          <w:rFonts w:ascii="Times New Roman" w:eastAsia="Times New Roman" w:hAnsi="Times New Roman" w:cs="Times New Roman"/>
          <w:b/>
          <w:bCs/>
          <w:color w:val="000000"/>
          <w:sz w:val="28"/>
          <w:szCs w:val="28"/>
          <w:lang w:val="fr-FR"/>
        </w:rPr>
        <w:t>của Viện kiểm sát nhân dân tối cao</w:t>
      </w:r>
    </w:p>
    <w:p w14:paraId="24CE53DE" w14:textId="77777777" w:rsidR="00BC535B" w:rsidRDefault="00BC535B" w:rsidP="00BC535B">
      <w:pPr>
        <w:widowControl w:val="0"/>
        <w:spacing w:before="60" w:after="240" w:line="360" w:lineRule="exact"/>
        <w:jc w:val="center"/>
        <w:rPr>
          <w:rFonts w:ascii="Times New Roman" w:eastAsia="Times New Roman" w:hAnsi="Times New Roman" w:cs="Times New Roman"/>
          <w:color w:val="000000"/>
          <w:sz w:val="28"/>
          <w:szCs w:val="28"/>
          <w:lang w:val="fr-FR"/>
        </w:rPr>
      </w:pPr>
      <w:r w:rsidRPr="005B64BC">
        <w:rPr>
          <w:rFonts w:ascii="Times New Roman" w:eastAsia="Times New Roman" w:hAnsi="Times New Roman" w:cs="Times New Roman"/>
          <w:b/>
          <w:bCs/>
          <w:noProof/>
          <w:color w:val="000000"/>
          <w:sz w:val="28"/>
          <w:szCs w:val="28"/>
          <w:lang w:val="en-US"/>
        </w:rPr>
        <mc:AlternateContent>
          <mc:Choice Requires="wps">
            <w:drawing>
              <wp:anchor distT="0" distB="0" distL="114300" distR="114300" simplePos="0" relativeHeight="251661312" behindDoc="0" locked="0" layoutInCell="1" allowOverlap="1" wp14:anchorId="762EE6A0" wp14:editId="0455E29B">
                <wp:simplePos x="0" y="0"/>
                <wp:positionH relativeFrom="column">
                  <wp:posOffset>2510155</wp:posOffset>
                </wp:positionH>
                <wp:positionV relativeFrom="paragraph">
                  <wp:posOffset>48895</wp:posOffset>
                </wp:positionV>
                <wp:extent cx="60907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9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F1590D"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65pt,3.85pt" to="245.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" strokecolor="black [3200]" strokeweight=".5pt">
                <v:stroke joinstyle="miter"/>
              </v:line>
            </w:pict>
          </mc:Fallback>
        </mc:AlternateContent>
      </w:r>
    </w:p>
    <w:p w14:paraId="4E7B1106" w14:textId="75BB12D4" w:rsidR="00417470" w:rsidRPr="005B64BC" w:rsidRDefault="00417470" w:rsidP="00BC535B">
      <w:pPr>
        <w:widowControl w:val="0"/>
        <w:spacing w:before="60" w:after="240" w:line="360" w:lineRule="exact"/>
        <w:jc w:val="center"/>
        <w:rPr>
          <w:rFonts w:ascii="Times New Roman" w:eastAsia="Times New Roman" w:hAnsi="Times New Roman" w:cs="Times New Roman"/>
          <w:color w:val="000000"/>
          <w:sz w:val="28"/>
          <w:szCs w:val="28"/>
          <w:lang w:val="fr-FR"/>
        </w:rPr>
      </w:pPr>
      <w:r w:rsidRPr="005B64BC">
        <w:rPr>
          <w:rFonts w:ascii="Times New Roman" w:eastAsia="Times New Roman" w:hAnsi="Times New Roman" w:cs="Times New Roman"/>
          <w:color w:val="000000"/>
          <w:sz w:val="28"/>
          <w:szCs w:val="28"/>
          <w:lang w:val="fr-FR"/>
        </w:rPr>
        <w:t xml:space="preserve">Kính </w:t>
      </w:r>
      <w:r w:rsidR="00B205B7" w:rsidRPr="005B64BC">
        <w:rPr>
          <w:rFonts w:ascii="Times New Roman" w:eastAsia="Times New Roman" w:hAnsi="Times New Roman" w:cs="Times New Roman"/>
          <w:color w:val="000000"/>
          <w:sz w:val="28"/>
          <w:szCs w:val="28"/>
          <w:lang w:val="fr-FR"/>
        </w:rPr>
        <w:t>gửi: Ủy ban Thường vụ Quốc hội</w:t>
      </w:r>
      <w:r w:rsidR="009A3625" w:rsidRPr="005B64BC">
        <w:rPr>
          <w:rFonts w:ascii="Times New Roman" w:eastAsia="Times New Roman" w:hAnsi="Times New Roman" w:cs="Times New Roman"/>
          <w:color w:val="000000"/>
          <w:sz w:val="28"/>
          <w:szCs w:val="28"/>
          <w:lang w:val="fr-FR"/>
        </w:rPr>
        <w:t>,</w:t>
      </w:r>
    </w:p>
    <w:p w14:paraId="66059622" w14:textId="0556DA95" w:rsidR="00B205B7" w:rsidRPr="005B64BC" w:rsidRDefault="008E4921" w:rsidP="00F740AD">
      <w:pPr>
        <w:widowControl w:val="0"/>
        <w:spacing w:before="120" w:after="120" w:line="360" w:lineRule="exact"/>
        <w:ind w:firstLine="567"/>
        <w:jc w:val="both"/>
        <w:rPr>
          <w:rFonts w:ascii="Times New Roman" w:eastAsia="Times New Roman" w:hAnsi="Times New Roman" w:cs="Times New Roman"/>
          <w:color w:val="000000"/>
          <w:sz w:val="28"/>
          <w:szCs w:val="28"/>
          <w:lang w:val="fr-FR"/>
        </w:rPr>
      </w:pPr>
      <w:r w:rsidRPr="005B64BC">
        <w:rPr>
          <w:rFonts w:ascii="Times New Roman" w:eastAsia="Times New Roman" w:hAnsi="Times New Roman" w:cs="Times New Roman"/>
          <w:color w:val="000000"/>
          <w:sz w:val="28"/>
          <w:szCs w:val="28"/>
          <w:lang w:val="fr-FR"/>
        </w:rPr>
        <w:t xml:space="preserve">Thực hiện </w:t>
      </w:r>
      <w:r w:rsidR="00B205B7" w:rsidRPr="005B64BC">
        <w:rPr>
          <w:rFonts w:ascii="Times New Roman" w:eastAsia="Times New Roman" w:hAnsi="Times New Roman" w:cs="Times New Roman"/>
          <w:color w:val="000000"/>
          <w:sz w:val="28"/>
          <w:szCs w:val="28"/>
          <w:lang w:val="fr-FR"/>
        </w:rPr>
        <w:t>phân công của Ủy ban Thường vụ Quốc hội (UBTVQH)</w:t>
      </w:r>
      <w:r w:rsidRPr="005B64BC">
        <w:rPr>
          <w:rFonts w:ascii="Times New Roman" w:eastAsia="Times New Roman" w:hAnsi="Times New Roman" w:cs="Times New Roman"/>
          <w:color w:val="000000"/>
          <w:sz w:val="28"/>
          <w:szCs w:val="28"/>
          <w:lang w:val="fr-FR"/>
        </w:rPr>
        <w:t xml:space="preserve">, </w:t>
      </w:r>
      <w:r w:rsidR="00B205B7" w:rsidRPr="005B64BC">
        <w:rPr>
          <w:rFonts w:ascii="Times New Roman" w:eastAsia="Times New Roman" w:hAnsi="Times New Roman" w:cs="Times New Roman"/>
          <w:color w:val="000000"/>
          <w:sz w:val="28"/>
          <w:szCs w:val="28"/>
          <w:lang w:val="fr-FR"/>
        </w:rPr>
        <w:t>ngày 0</w:t>
      </w:r>
      <w:r w:rsidR="00BC535B">
        <w:rPr>
          <w:rFonts w:ascii="Times New Roman" w:eastAsia="Times New Roman" w:hAnsi="Times New Roman" w:cs="Times New Roman"/>
          <w:color w:val="000000"/>
          <w:sz w:val="28"/>
          <w:szCs w:val="28"/>
          <w:lang w:val="fr-FR"/>
        </w:rPr>
        <w:t>5</w:t>
      </w:r>
      <w:r w:rsidR="00B205B7" w:rsidRPr="005B64BC">
        <w:rPr>
          <w:rFonts w:ascii="Times New Roman" w:eastAsia="Times New Roman" w:hAnsi="Times New Roman" w:cs="Times New Roman"/>
          <w:color w:val="000000"/>
          <w:sz w:val="28"/>
          <w:szCs w:val="28"/>
          <w:lang w:val="fr-FR"/>
        </w:rPr>
        <w:t xml:space="preserve">/02/2024, Thường trực Ủy ban Tư pháp đã tổ chức </w:t>
      </w:r>
      <w:r w:rsidR="008A1D9D" w:rsidRPr="005B64BC">
        <w:rPr>
          <w:rFonts w:ascii="Times New Roman" w:eastAsia="Times New Roman" w:hAnsi="Times New Roman" w:cs="Times New Roman"/>
          <w:color w:val="000000"/>
          <w:sz w:val="28"/>
          <w:szCs w:val="28"/>
          <w:lang w:val="fr-FR"/>
        </w:rPr>
        <w:t>phiên</w:t>
      </w:r>
      <w:r w:rsidR="00B205B7" w:rsidRPr="005B64BC">
        <w:rPr>
          <w:rFonts w:ascii="Times New Roman" w:eastAsia="Times New Roman" w:hAnsi="Times New Roman" w:cs="Times New Roman"/>
          <w:color w:val="000000"/>
          <w:sz w:val="28"/>
          <w:szCs w:val="28"/>
          <w:lang w:val="fr-FR"/>
        </w:rPr>
        <w:t xml:space="preserve"> họp Thường trực mở rộng để thẩm tra </w:t>
      </w:r>
      <w:r w:rsidR="00BC535B" w:rsidRPr="00BC535B">
        <w:rPr>
          <w:rFonts w:ascii="Times New Roman" w:eastAsia="Times New Roman" w:hAnsi="Times New Roman" w:cs="Times New Roman"/>
          <w:color w:val="000000"/>
          <w:sz w:val="28"/>
          <w:szCs w:val="28"/>
          <w:lang w:val="fr-FR"/>
        </w:rPr>
        <w:t>Tờ trình số 04/TTr-VKSTC ngày 20/01/2025 của Viện trưởng Viện kiểm sát nhân dân tối cao (VKSNDTC) đề nghị Ủy ban Thường vụ Quốc hội phê chuẩn bộ máy làm việc của Viện kiểm sát nhân dân tối cao</w:t>
      </w:r>
      <w:r w:rsidR="00B205B7" w:rsidRPr="005B64BC">
        <w:rPr>
          <w:rFonts w:ascii="Times New Roman" w:eastAsia="Times New Roman" w:hAnsi="Times New Roman" w:cs="Times New Roman"/>
          <w:color w:val="000000"/>
          <w:sz w:val="28"/>
          <w:szCs w:val="28"/>
          <w:lang w:val="fr-FR"/>
        </w:rPr>
        <w:t xml:space="preserve">. </w:t>
      </w:r>
      <w:r w:rsidR="008A1D9D" w:rsidRPr="005B64BC">
        <w:rPr>
          <w:rFonts w:ascii="Times New Roman" w:eastAsia="Times New Roman" w:hAnsi="Times New Roman" w:cs="Times New Roman"/>
          <w:color w:val="000000"/>
          <w:sz w:val="28"/>
          <w:szCs w:val="28"/>
          <w:lang w:val="fr-FR"/>
        </w:rPr>
        <w:t xml:space="preserve">Sau phiên họp, VKSNDTC đã tiếp thu </w:t>
      </w:r>
      <w:r w:rsidR="00E0474E">
        <w:rPr>
          <w:rFonts w:ascii="Times New Roman" w:eastAsia="Times New Roman" w:hAnsi="Times New Roman" w:cs="Times New Roman"/>
          <w:color w:val="000000"/>
          <w:sz w:val="28"/>
          <w:szCs w:val="28"/>
          <w:lang w:val="fr-FR"/>
        </w:rPr>
        <w:t>các</w:t>
      </w:r>
      <w:r w:rsidR="008A1D9D" w:rsidRPr="005B64BC">
        <w:rPr>
          <w:rFonts w:ascii="Times New Roman" w:eastAsia="Times New Roman" w:hAnsi="Times New Roman" w:cs="Times New Roman"/>
          <w:color w:val="000000"/>
          <w:sz w:val="28"/>
          <w:szCs w:val="28"/>
          <w:lang w:val="fr-FR"/>
        </w:rPr>
        <w:t xml:space="preserve"> ý kiến thẩm tra của UBTP, bổ sung các tài liệu để hoàn thiện hồ sơ trình UBTVQH xem xét.</w:t>
      </w:r>
    </w:p>
    <w:p w14:paraId="410C3A71" w14:textId="1AAFD185" w:rsidR="00CB3F36" w:rsidRPr="005B64BC" w:rsidRDefault="00B205B7" w:rsidP="00F740AD">
      <w:pPr>
        <w:widowControl w:val="0"/>
        <w:spacing w:before="120" w:after="120" w:line="360" w:lineRule="exact"/>
        <w:ind w:firstLine="567"/>
        <w:jc w:val="both"/>
        <w:rPr>
          <w:rFonts w:ascii="Times New Roman" w:eastAsia="Times New Roman" w:hAnsi="Times New Roman" w:cs="Times New Roman"/>
          <w:color w:val="000000"/>
          <w:sz w:val="28"/>
          <w:szCs w:val="28"/>
          <w:lang w:val="fr-FR"/>
        </w:rPr>
      </w:pPr>
      <w:r w:rsidRPr="005B64BC">
        <w:rPr>
          <w:rFonts w:ascii="Times New Roman" w:eastAsia="Times New Roman" w:hAnsi="Times New Roman" w:cs="Times New Roman"/>
          <w:color w:val="000000"/>
          <w:sz w:val="28"/>
          <w:szCs w:val="28"/>
          <w:lang w:val="fr-FR"/>
        </w:rPr>
        <w:t>Thường trực UBTP xin báo cáo UBTVQH ý kiến thẩm tra như sau:</w:t>
      </w:r>
    </w:p>
    <w:p w14:paraId="6570D415" w14:textId="3CD4C866" w:rsidR="00BF4048" w:rsidRPr="005B64BC" w:rsidRDefault="00BF4048" w:rsidP="00F740AD">
      <w:pPr>
        <w:widowControl w:val="0"/>
        <w:spacing w:before="120" w:after="120" w:line="360" w:lineRule="exact"/>
        <w:ind w:firstLine="567"/>
        <w:jc w:val="both"/>
        <w:rPr>
          <w:rFonts w:ascii="Times New Roman" w:eastAsia="Times New Roman" w:hAnsi="Times New Roman" w:cs="Times New Roman"/>
          <w:b/>
          <w:bCs/>
          <w:color w:val="000000"/>
          <w:sz w:val="28"/>
          <w:szCs w:val="28"/>
          <w:lang w:val="fr-FR"/>
        </w:rPr>
      </w:pPr>
      <w:r w:rsidRPr="005B64BC">
        <w:rPr>
          <w:rFonts w:ascii="Times New Roman" w:eastAsia="Times New Roman" w:hAnsi="Times New Roman" w:cs="Times New Roman"/>
          <w:b/>
          <w:bCs/>
          <w:color w:val="000000"/>
          <w:sz w:val="28"/>
          <w:szCs w:val="28"/>
          <w:lang w:val="fr-FR"/>
        </w:rPr>
        <w:t>1. Về</w:t>
      </w:r>
      <w:r w:rsidR="008B6BA6" w:rsidRPr="005B64BC">
        <w:rPr>
          <w:rFonts w:ascii="Times New Roman" w:eastAsia="Times New Roman" w:hAnsi="Times New Roman" w:cs="Times New Roman"/>
          <w:b/>
          <w:bCs/>
          <w:color w:val="000000"/>
          <w:sz w:val="28"/>
          <w:szCs w:val="28"/>
          <w:lang w:val="fr-FR"/>
        </w:rPr>
        <w:t xml:space="preserve"> </w:t>
      </w:r>
      <w:r w:rsidR="007E1BF4" w:rsidRPr="005B64BC">
        <w:rPr>
          <w:rFonts w:ascii="Times New Roman" w:eastAsia="Times New Roman" w:hAnsi="Times New Roman" w:cs="Times New Roman"/>
          <w:b/>
          <w:bCs/>
          <w:color w:val="000000"/>
          <w:sz w:val="28"/>
          <w:szCs w:val="28"/>
          <w:lang w:val="fr-FR"/>
        </w:rPr>
        <w:t>căn cứ pháp lý và hồ sơ</w:t>
      </w:r>
      <w:r w:rsidR="0080508B" w:rsidRPr="005B64BC">
        <w:rPr>
          <w:rFonts w:ascii="Times New Roman" w:eastAsia="Times New Roman" w:hAnsi="Times New Roman" w:cs="Times New Roman"/>
          <w:b/>
          <w:bCs/>
          <w:color w:val="000000"/>
          <w:sz w:val="28"/>
          <w:szCs w:val="28"/>
          <w:lang w:val="fr-FR"/>
        </w:rPr>
        <w:t xml:space="preserve"> </w:t>
      </w:r>
      <w:r w:rsidR="007E1BF4" w:rsidRPr="005B64BC">
        <w:rPr>
          <w:rFonts w:ascii="Times New Roman" w:eastAsia="Times New Roman" w:hAnsi="Times New Roman" w:cs="Times New Roman"/>
          <w:b/>
          <w:bCs/>
          <w:color w:val="000000"/>
          <w:sz w:val="28"/>
          <w:szCs w:val="28"/>
          <w:lang w:val="fr-FR"/>
        </w:rPr>
        <w:t>trình UBTVQH xem xét</w:t>
      </w:r>
    </w:p>
    <w:p w14:paraId="46CC67DF" w14:textId="77777777" w:rsidR="00DC3034" w:rsidRPr="00D14012" w:rsidRDefault="00B205B7" w:rsidP="00F740AD">
      <w:pPr>
        <w:pStyle w:val="NormalWeb"/>
        <w:widowControl w:val="0"/>
        <w:shd w:val="clear" w:color="auto" w:fill="FFFFFF"/>
        <w:spacing w:before="120" w:after="120" w:line="360" w:lineRule="exact"/>
        <w:ind w:firstLine="567"/>
        <w:jc w:val="both"/>
        <w:rPr>
          <w:rFonts w:eastAsia="Times New Roman"/>
          <w:color w:val="000000" w:themeColor="text1"/>
          <w:spacing w:val="-2"/>
          <w:sz w:val="28"/>
          <w:szCs w:val="28"/>
          <w:highlight w:val="yellow"/>
          <w:lang w:val="fr-FR"/>
        </w:rPr>
      </w:pPr>
      <w:r w:rsidRPr="00D14012">
        <w:rPr>
          <w:rFonts w:eastAsia="Times New Roman"/>
          <w:color w:val="000000"/>
          <w:spacing w:val="-2"/>
          <w:sz w:val="28"/>
          <w:szCs w:val="28"/>
          <w:lang w:val="fr-FR"/>
        </w:rPr>
        <w:t>Thường trực UBTP</w:t>
      </w:r>
      <w:r w:rsidR="00A91328" w:rsidRPr="00D14012">
        <w:rPr>
          <w:rFonts w:eastAsia="Times New Roman"/>
          <w:color w:val="000000"/>
          <w:spacing w:val="-2"/>
          <w:sz w:val="28"/>
          <w:szCs w:val="28"/>
          <w:lang w:val="fr-FR"/>
        </w:rPr>
        <w:t xml:space="preserve"> nhận thấy, </w:t>
      </w:r>
      <w:r w:rsidR="00DC3034" w:rsidRPr="00D14012">
        <w:rPr>
          <w:rFonts w:eastAsia="Times New Roman"/>
          <w:color w:val="000000" w:themeColor="text1"/>
          <w:spacing w:val="-2"/>
          <w:sz w:val="28"/>
          <w:szCs w:val="28"/>
          <w:lang w:val="fr-FR"/>
        </w:rPr>
        <w:t xml:space="preserve">Viện trưởng VKSNDTC trình UBTVQH phê chuẩn bộ máy làm việc của VKSNDTC là có căn cứ, bảo đảm thể chế hóa Nghị quyết số 18-NQ/TW ngày 25/10/2017 của Ban Chấp hành Trung ương Đảng khóa XII về </w:t>
      </w:r>
      <w:r w:rsidR="00DC3034" w:rsidRPr="00D14012">
        <w:rPr>
          <w:rFonts w:eastAsia="Times New Roman"/>
          <w:i/>
          <w:iCs/>
          <w:color w:val="000000" w:themeColor="text1"/>
          <w:spacing w:val="-2"/>
          <w:sz w:val="28"/>
          <w:szCs w:val="28"/>
          <w:lang w:val="fr-FR"/>
        </w:rPr>
        <w:t>"Một số vấn đề về tiếp tục đổi mới, sắp xếp, tổ chức bộ máy của hệ thống chính trị tinh gọn, hoạt động hiệu lực, hiệu quả"</w:t>
      </w:r>
      <w:r w:rsidR="00DC3034" w:rsidRPr="00D14012">
        <w:rPr>
          <w:rFonts w:eastAsia="Times New Roman"/>
          <w:color w:val="000000" w:themeColor="text1"/>
          <w:spacing w:val="-2"/>
          <w:sz w:val="28"/>
          <w:szCs w:val="28"/>
          <w:lang w:val="fr-FR"/>
        </w:rPr>
        <w:t>, Kết luận số 09-KL/BCĐ ngày 24/11/2024 và Công văn số 21-CV/BCĐ ngày 05/12/2024 của Ban Chỉ đạo Trung ương về tổng kết thực hiện Nghị quyết 18, đồng thời, thực hiện đúng thẩm quyền, thủ tục quy định tại khoản 3 Điều 63 Luật Tổ chức Viện kiểm sát nhân dân năm 2014</w:t>
      </w:r>
      <w:r w:rsidR="00DC3034" w:rsidRPr="00D14012">
        <w:rPr>
          <w:rFonts w:eastAsia="Times New Roman"/>
          <w:b/>
          <w:bCs/>
          <w:color w:val="000000" w:themeColor="text1"/>
          <w:spacing w:val="-2"/>
          <w:sz w:val="28"/>
          <w:szCs w:val="28"/>
          <w:vertAlign w:val="superscript"/>
          <w:lang w:val="fr-FR"/>
        </w:rPr>
        <w:footnoteReference w:id="1"/>
      </w:r>
      <w:r w:rsidR="00DC3034" w:rsidRPr="00D14012">
        <w:rPr>
          <w:rFonts w:eastAsia="Times New Roman"/>
          <w:color w:val="000000" w:themeColor="text1"/>
          <w:spacing w:val="-2"/>
          <w:sz w:val="28"/>
          <w:szCs w:val="28"/>
          <w:lang w:val="fr-FR"/>
        </w:rPr>
        <w:t xml:space="preserve">. </w:t>
      </w:r>
    </w:p>
    <w:p w14:paraId="2AB9AEA7" w14:textId="40F45697" w:rsidR="00DC3034" w:rsidRPr="00DC3034" w:rsidRDefault="00DC3034" w:rsidP="00F740AD">
      <w:pPr>
        <w:widowControl w:val="0"/>
        <w:spacing w:before="120" w:after="120" w:line="360" w:lineRule="exact"/>
        <w:ind w:firstLine="567"/>
        <w:jc w:val="both"/>
        <w:rPr>
          <w:rFonts w:ascii="Times New Roman" w:eastAsia="Times New Roman" w:hAnsi="Times New Roman" w:cs="Times New Roman"/>
          <w:iCs/>
          <w:color w:val="000000" w:themeColor="text1"/>
          <w:sz w:val="28"/>
          <w:szCs w:val="28"/>
          <w:lang w:val="fr-FR"/>
        </w:rPr>
      </w:pPr>
      <w:r w:rsidRPr="00DC3034">
        <w:rPr>
          <w:rFonts w:ascii="Times New Roman" w:eastAsia="Times New Roman" w:hAnsi="Times New Roman" w:cs="Times New Roman"/>
          <w:iCs/>
          <w:color w:val="000000" w:themeColor="text1"/>
          <w:sz w:val="28"/>
          <w:szCs w:val="28"/>
          <w:lang w:val="fr-FR"/>
        </w:rPr>
        <w:t xml:space="preserve">Hồ sơ </w:t>
      </w:r>
      <w:r w:rsidR="00E0474E">
        <w:rPr>
          <w:rFonts w:ascii="Times New Roman" w:eastAsia="Times New Roman" w:hAnsi="Times New Roman" w:cs="Times New Roman"/>
          <w:iCs/>
          <w:color w:val="000000" w:themeColor="text1"/>
          <w:sz w:val="28"/>
          <w:szCs w:val="28"/>
          <w:lang w:val="fr-FR"/>
        </w:rPr>
        <w:t>Nghị quyết được</w:t>
      </w:r>
      <w:r w:rsidRPr="00DC3034">
        <w:rPr>
          <w:rFonts w:ascii="Times New Roman" w:eastAsia="Times New Roman" w:hAnsi="Times New Roman" w:cs="Times New Roman"/>
          <w:iCs/>
          <w:color w:val="000000" w:themeColor="text1"/>
          <w:sz w:val="28"/>
          <w:szCs w:val="28"/>
          <w:lang w:val="fr-FR"/>
        </w:rPr>
        <w:t xml:space="preserve"> VKSNDTC chuẩn bị nghiêm túc, </w:t>
      </w:r>
      <w:r w:rsidR="00E0474E">
        <w:rPr>
          <w:rFonts w:ascii="Times New Roman" w:eastAsia="Times New Roman" w:hAnsi="Times New Roman" w:cs="Times New Roman"/>
          <w:iCs/>
          <w:color w:val="000000" w:themeColor="text1"/>
          <w:sz w:val="28"/>
          <w:szCs w:val="28"/>
          <w:lang w:val="fr-FR"/>
        </w:rPr>
        <w:t>c</w:t>
      </w:r>
      <w:r w:rsidRPr="00DC3034">
        <w:rPr>
          <w:rFonts w:ascii="Times New Roman" w:eastAsia="Times New Roman" w:hAnsi="Times New Roman" w:cs="Times New Roman"/>
          <w:iCs/>
          <w:color w:val="000000" w:themeColor="text1"/>
          <w:sz w:val="28"/>
          <w:szCs w:val="28"/>
          <w:lang w:val="fr-FR"/>
        </w:rPr>
        <w:t>ó văn bản thông báo ý kiến của Bộ Chính trị nhất trí với việc rà soát, sắp xếp, cơ cấu lại tổ chức bộ máy trong ngành Kiểm sát nhân dân, trong đó có tổ chức bộ máy của VKSNDTC</w:t>
      </w:r>
      <w:r w:rsidRPr="00DC3034">
        <w:rPr>
          <w:rFonts w:ascii="Times New Roman" w:eastAsia="Times New Roman" w:hAnsi="Times New Roman" w:cs="Times New Roman"/>
          <w:b/>
          <w:bCs/>
          <w:iCs/>
          <w:color w:val="000000" w:themeColor="text1"/>
          <w:sz w:val="28"/>
          <w:szCs w:val="28"/>
          <w:vertAlign w:val="superscript"/>
          <w:lang w:val="fr-FR"/>
        </w:rPr>
        <w:footnoteReference w:id="2"/>
      </w:r>
      <w:r w:rsidRPr="00DC3034">
        <w:rPr>
          <w:rFonts w:ascii="Times New Roman" w:eastAsia="Times New Roman" w:hAnsi="Times New Roman" w:cs="Times New Roman"/>
          <w:iCs/>
          <w:color w:val="000000" w:themeColor="text1"/>
          <w:sz w:val="28"/>
          <w:szCs w:val="28"/>
          <w:lang w:val="fr-FR"/>
        </w:rPr>
        <w:t xml:space="preserve">, kèm theo dự thảo Nghị quyết của UBTVQH và một số tài liệu có liên quan. </w:t>
      </w:r>
    </w:p>
    <w:p w14:paraId="6B4B596D" w14:textId="306E11F0" w:rsidR="0080508B" w:rsidRPr="005B64BC" w:rsidRDefault="0080508B" w:rsidP="00F740AD">
      <w:pPr>
        <w:widowControl w:val="0"/>
        <w:spacing w:before="120" w:after="120" w:line="360" w:lineRule="exact"/>
        <w:ind w:firstLine="567"/>
        <w:jc w:val="both"/>
        <w:rPr>
          <w:rFonts w:ascii="Times New Roman" w:eastAsia="Times New Roman" w:hAnsi="Times New Roman" w:cs="Times New Roman"/>
          <w:b/>
          <w:iCs/>
          <w:color w:val="000000"/>
          <w:sz w:val="28"/>
          <w:szCs w:val="28"/>
          <w:lang w:val="fr-FR"/>
        </w:rPr>
      </w:pPr>
      <w:r w:rsidRPr="005B64BC">
        <w:rPr>
          <w:rFonts w:ascii="Times New Roman" w:eastAsia="Times New Roman" w:hAnsi="Times New Roman" w:cs="Times New Roman"/>
          <w:b/>
          <w:iCs/>
          <w:color w:val="000000"/>
          <w:sz w:val="28"/>
          <w:szCs w:val="28"/>
          <w:lang w:val="fr-FR"/>
        </w:rPr>
        <w:lastRenderedPageBreak/>
        <w:t>2. Về nội dung Tờ trình của Viện trưởng VKSNDTC</w:t>
      </w:r>
    </w:p>
    <w:p w14:paraId="66981748" w14:textId="77777777" w:rsidR="00DC3034" w:rsidRPr="00DC3034" w:rsidRDefault="00DC3034" w:rsidP="00F740AD">
      <w:pPr>
        <w:widowControl w:val="0"/>
        <w:spacing w:before="120" w:after="120" w:line="360" w:lineRule="exact"/>
        <w:ind w:firstLine="567"/>
        <w:jc w:val="both"/>
        <w:rPr>
          <w:rFonts w:ascii="Times New Roman Bold Italic" w:eastAsia="Times New Roman" w:hAnsi="Times New Roman Bold Italic" w:cs="Times New Roman"/>
          <w:b/>
          <w:i/>
          <w:color w:val="000000" w:themeColor="text1"/>
          <w:spacing w:val="-6"/>
          <w:sz w:val="28"/>
          <w:szCs w:val="28"/>
          <w:lang w:val="fr-FR"/>
        </w:rPr>
      </w:pPr>
      <w:r w:rsidRPr="00DC3034">
        <w:rPr>
          <w:rFonts w:ascii="Times New Roman Bold Italic" w:eastAsia="Times New Roman" w:hAnsi="Times New Roman Bold Italic" w:cs="Times New Roman"/>
          <w:b/>
          <w:i/>
          <w:color w:val="000000" w:themeColor="text1"/>
          <w:spacing w:val="-6"/>
          <w:sz w:val="28"/>
          <w:szCs w:val="28"/>
          <w:lang w:val="fr-FR"/>
        </w:rPr>
        <w:t>2.1. Về đề nghị kết thúc hoạt động, sáp nhập và sắp xếp lại một số đơn vị cấp Vụ thuộc VKSNDTC có chức năng, nhiệm vụ tương đồng hoặc có quy mô không lớn</w:t>
      </w:r>
    </w:p>
    <w:p w14:paraId="73C2115A" w14:textId="77777777" w:rsidR="00DC3034" w:rsidRPr="00DC3034" w:rsidRDefault="00DC3034" w:rsidP="00F740AD">
      <w:pPr>
        <w:widowControl w:val="0"/>
        <w:spacing w:before="120" w:after="120" w:line="360" w:lineRule="exact"/>
        <w:ind w:firstLine="567"/>
        <w:jc w:val="both"/>
        <w:rPr>
          <w:rFonts w:ascii="Times New Roman" w:eastAsia="Times New Roman" w:hAnsi="Times New Roman" w:cs="Times New Roman"/>
          <w:color w:val="000000" w:themeColor="text1"/>
          <w:sz w:val="28"/>
          <w:szCs w:val="28"/>
          <w:lang w:val="fr-FR"/>
        </w:rPr>
      </w:pPr>
      <w:r w:rsidRPr="00DC3034">
        <w:rPr>
          <w:rFonts w:ascii="Times New Roman" w:eastAsia="Times New Roman" w:hAnsi="Times New Roman" w:cs="Times New Roman"/>
          <w:color w:val="000000" w:themeColor="text1"/>
          <w:sz w:val="28"/>
          <w:szCs w:val="28"/>
          <w:lang w:val="fr-FR"/>
        </w:rPr>
        <w:t>Theo Tờ trình, Viện trưởng VKSNDTC đề nghị UBTVQH phê chuẩn kết thúc hoạt động, sáp nhập và sắp xếp lại một số đơn vị cấp Vụ thuộc VKSNDTC, cụ thể:</w:t>
      </w:r>
    </w:p>
    <w:p w14:paraId="77208E9F" w14:textId="5425981C" w:rsidR="00DC3034" w:rsidRPr="00DC3034" w:rsidRDefault="00DC3034" w:rsidP="00F740AD">
      <w:pPr>
        <w:widowControl w:val="0"/>
        <w:spacing w:before="120" w:after="120" w:line="360" w:lineRule="exact"/>
        <w:ind w:firstLine="567"/>
        <w:jc w:val="both"/>
        <w:rPr>
          <w:rFonts w:ascii="Times New Roman" w:eastAsia="Times New Roman" w:hAnsi="Times New Roman" w:cs="Times New Roman"/>
          <w:color w:val="000000" w:themeColor="text1"/>
          <w:spacing w:val="-2"/>
          <w:sz w:val="28"/>
          <w:szCs w:val="28"/>
          <w:lang w:val="fr-FR"/>
        </w:rPr>
      </w:pPr>
      <w:r w:rsidRPr="00DC3034">
        <w:rPr>
          <w:rFonts w:ascii="Times New Roman" w:eastAsia="Times New Roman" w:hAnsi="Times New Roman" w:cs="Times New Roman"/>
          <w:color w:val="000000" w:themeColor="text1"/>
          <w:spacing w:val="-2"/>
          <w:sz w:val="28"/>
          <w:szCs w:val="28"/>
          <w:lang w:val="fr-FR"/>
        </w:rPr>
        <w:t xml:space="preserve">(1) Sáp nhập Vụ Thực hành quyền công tố và kiểm sát điều tra án kinh tế (Vụ 3) và Vụ Thực hành quyền công tố và kiểm sát điều tra án tham nhũng, chức vụ (Vụ 5); tên đơn vị sau sáp nhập là </w:t>
      </w:r>
      <w:r w:rsidR="00BC7273">
        <w:rPr>
          <w:rFonts w:ascii="Times New Roman" w:eastAsia="Times New Roman" w:hAnsi="Times New Roman" w:cs="Times New Roman"/>
          <w:color w:val="000000" w:themeColor="text1"/>
          <w:spacing w:val="-2"/>
          <w:sz w:val="28"/>
          <w:szCs w:val="28"/>
          <w:lang w:val="fr-FR"/>
        </w:rPr>
        <w:t>"</w:t>
      </w:r>
      <w:r w:rsidRPr="00DC3034">
        <w:rPr>
          <w:rFonts w:ascii="Times New Roman" w:eastAsia="Times New Roman" w:hAnsi="Times New Roman" w:cs="Times New Roman"/>
          <w:color w:val="000000" w:themeColor="text1"/>
          <w:spacing w:val="-2"/>
          <w:sz w:val="28"/>
          <w:szCs w:val="28"/>
          <w:lang w:val="fr-FR"/>
        </w:rPr>
        <w:t>Vụ công tố và kiểm sát điều tra án kinh tế, tham nhũng";</w:t>
      </w:r>
    </w:p>
    <w:p w14:paraId="370C5D60" w14:textId="77777777" w:rsidR="00DC3034" w:rsidRPr="00DC3034" w:rsidRDefault="00DC3034" w:rsidP="00F740AD">
      <w:pPr>
        <w:widowControl w:val="0"/>
        <w:spacing w:before="120" w:after="120" w:line="360" w:lineRule="exact"/>
        <w:ind w:firstLine="567"/>
        <w:jc w:val="both"/>
        <w:rPr>
          <w:rFonts w:ascii="Times New Roman" w:eastAsia="Times New Roman" w:hAnsi="Times New Roman" w:cs="Times New Roman"/>
          <w:color w:val="000000" w:themeColor="text1"/>
          <w:sz w:val="28"/>
          <w:szCs w:val="28"/>
          <w:lang w:val="fr-FR"/>
        </w:rPr>
      </w:pPr>
      <w:r w:rsidRPr="00DC3034">
        <w:rPr>
          <w:rFonts w:ascii="Times New Roman" w:eastAsia="Times New Roman" w:hAnsi="Times New Roman" w:cs="Times New Roman"/>
          <w:color w:val="000000" w:themeColor="text1"/>
          <w:sz w:val="28"/>
          <w:szCs w:val="28"/>
          <w:lang w:val="fr-FR"/>
        </w:rPr>
        <w:t>(2) Kết thúc hoạt động của Vụ Thi đua – Khen thưởng, chuyển nhiệm vụ về Văn phòng VKSNDTC;</w:t>
      </w:r>
    </w:p>
    <w:p w14:paraId="70671034" w14:textId="49FFD073" w:rsidR="00DC3034" w:rsidRPr="00E80310" w:rsidRDefault="00DC3034" w:rsidP="00F740AD">
      <w:pPr>
        <w:widowControl w:val="0"/>
        <w:spacing w:before="120" w:after="120" w:line="360" w:lineRule="exact"/>
        <w:ind w:firstLine="567"/>
        <w:jc w:val="both"/>
        <w:rPr>
          <w:rFonts w:ascii="Times New Roman" w:eastAsia="Times New Roman" w:hAnsi="Times New Roman" w:cs="Times New Roman"/>
          <w:color w:val="000000" w:themeColor="text1"/>
          <w:spacing w:val="-4"/>
          <w:sz w:val="28"/>
          <w:szCs w:val="28"/>
          <w:lang w:val="fr-FR"/>
        </w:rPr>
      </w:pPr>
      <w:r w:rsidRPr="00E80310">
        <w:rPr>
          <w:rFonts w:ascii="Times New Roman" w:eastAsia="Times New Roman" w:hAnsi="Times New Roman" w:cs="Times New Roman"/>
          <w:color w:val="000000" w:themeColor="text1"/>
          <w:spacing w:val="-4"/>
          <w:sz w:val="28"/>
          <w:szCs w:val="28"/>
          <w:lang w:val="fr-FR"/>
        </w:rPr>
        <w:t>(3) Sáp nhập Trường Đại học Kiểm sát Hà Nội (T2) và Trường Đào tạo, bồi dưỡng nghiệp vụ kiểm sát tại TP. Hồ Chí Minh (T3); tên đơn vị sau sáp nhập là "Trường Đại học Kiểm sát", có Phân hiệu Trường Đại học Kiểm sát tại TP. Hồ Chí Minh</w:t>
      </w:r>
      <w:r w:rsidR="00E80310">
        <w:rPr>
          <w:rFonts w:ascii="Times New Roman" w:eastAsia="Times New Roman" w:hAnsi="Times New Roman" w:cs="Times New Roman"/>
          <w:color w:val="000000" w:themeColor="text1"/>
          <w:spacing w:val="-4"/>
          <w:sz w:val="28"/>
          <w:szCs w:val="28"/>
          <w:lang w:val="fr-FR"/>
        </w:rPr>
        <w:t>.</w:t>
      </w:r>
      <w:r w:rsidRPr="00E80310">
        <w:rPr>
          <w:rFonts w:ascii="Times New Roman" w:eastAsia="Times New Roman" w:hAnsi="Times New Roman" w:cs="Times New Roman"/>
          <w:color w:val="000000" w:themeColor="text1"/>
          <w:spacing w:val="-4"/>
          <w:sz w:val="28"/>
          <w:szCs w:val="28"/>
          <w:lang w:val="fr-FR"/>
        </w:rPr>
        <w:t xml:space="preserve"> </w:t>
      </w:r>
    </w:p>
    <w:p w14:paraId="3CE57D0C" w14:textId="77777777" w:rsidR="00DC3034" w:rsidRPr="00DC3034" w:rsidRDefault="00DC3034" w:rsidP="00F740AD">
      <w:pPr>
        <w:widowControl w:val="0"/>
        <w:spacing w:before="120" w:after="120" w:line="360" w:lineRule="exact"/>
        <w:ind w:firstLine="567"/>
        <w:jc w:val="both"/>
        <w:rPr>
          <w:rFonts w:ascii="Times New Roman" w:eastAsia="Times New Roman" w:hAnsi="Times New Roman" w:cs="Times New Roman"/>
          <w:color w:val="000000" w:themeColor="text1"/>
          <w:sz w:val="28"/>
          <w:szCs w:val="28"/>
          <w:lang w:val="fr-FR"/>
        </w:rPr>
      </w:pPr>
      <w:r w:rsidRPr="00DC3034">
        <w:rPr>
          <w:rFonts w:ascii="Times New Roman" w:eastAsia="Times New Roman" w:hAnsi="Times New Roman" w:cs="Times New Roman"/>
          <w:color w:val="000000" w:themeColor="text1"/>
          <w:sz w:val="28"/>
          <w:szCs w:val="28"/>
          <w:lang w:val="fr-FR"/>
        </w:rPr>
        <w:t>(4) Cơ cấu, sắp xếp lại 02 đơn vị Vụ Pháp chế và quản lý khoa học và đơn vị Tạp chí Kiểm sát thành 02 đơn vị: Vụ Pháp chế và Viện Khoa học kiểm sát.</w:t>
      </w:r>
    </w:p>
    <w:p w14:paraId="4AFB0D66" w14:textId="7104604A" w:rsidR="00DC3034" w:rsidRPr="00DC3034" w:rsidRDefault="000E4C2E" w:rsidP="00F740AD">
      <w:pPr>
        <w:widowControl w:val="0"/>
        <w:spacing w:before="120" w:after="120" w:line="360" w:lineRule="exact"/>
        <w:ind w:firstLine="567"/>
        <w:jc w:val="both"/>
        <w:rPr>
          <w:rFonts w:ascii="Times New Roman" w:eastAsia="Times New Roman" w:hAnsi="Times New Roman" w:cs="Times New Roman"/>
          <w:color w:val="000000" w:themeColor="text1"/>
          <w:spacing w:val="-2"/>
          <w:sz w:val="28"/>
          <w:szCs w:val="28"/>
          <w:lang w:val="fr-FR"/>
        </w:rPr>
      </w:pPr>
      <w:r>
        <w:rPr>
          <w:rFonts w:ascii="Times New Roman" w:eastAsia="Times New Roman" w:hAnsi="Times New Roman" w:cs="Times New Roman"/>
          <w:color w:val="000000" w:themeColor="text1"/>
          <w:spacing w:val="-2"/>
          <w:sz w:val="28"/>
          <w:szCs w:val="28"/>
          <w:lang w:val="fr-FR"/>
        </w:rPr>
        <w:t>Thường trực UBTP</w:t>
      </w:r>
      <w:r w:rsidR="00DC3034" w:rsidRPr="00DC3034">
        <w:rPr>
          <w:rFonts w:ascii="Times New Roman" w:eastAsia="Times New Roman" w:hAnsi="Times New Roman" w:cs="Times New Roman"/>
          <w:color w:val="000000" w:themeColor="text1"/>
          <w:spacing w:val="-2"/>
          <w:sz w:val="28"/>
          <w:szCs w:val="28"/>
          <w:lang w:val="fr-FR"/>
        </w:rPr>
        <w:t xml:space="preserve"> nhận thấy, theo báo cáo kết quả nghiên cứu, rà soát của Ban cán sự đảng VKSNDTC, các đơn vị được đề nghị sáp nhập, kết thúc hoạt động đều là những đơn vị có chức năng nhiệm vụ tương đồng </w:t>
      </w:r>
      <w:r w:rsidR="00DC3034" w:rsidRPr="00DC3034">
        <w:rPr>
          <w:rFonts w:ascii="Times New Roman" w:eastAsia="Times New Roman" w:hAnsi="Times New Roman" w:cs="Times New Roman"/>
          <w:i/>
          <w:iCs/>
          <w:color w:val="000000" w:themeColor="text1"/>
          <w:spacing w:val="-2"/>
          <w:sz w:val="28"/>
          <w:szCs w:val="28"/>
          <w:lang w:val="fr-FR"/>
        </w:rPr>
        <w:t>(mục 1, mục 2 và mục 3)</w:t>
      </w:r>
      <w:r w:rsidR="00DC3034" w:rsidRPr="00DC3034">
        <w:rPr>
          <w:rFonts w:ascii="Times New Roman" w:eastAsia="Times New Roman" w:hAnsi="Times New Roman" w:cs="Times New Roman"/>
          <w:color w:val="000000" w:themeColor="text1"/>
          <w:spacing w:val="-2"/>
          <w:sz w:val="28"/>
          <w:szCs w:val="28"/>
          <w:lang w:val="fr-FR"/>
        </w:rPr>
        <w:t xml:space="preserve">; các đơn vị được đề nghị cơ cấu, sắp xếp lại tổ chức bộ máy đều nhằm đáp ứng các nhu cầu đặc biệt và hết sức cần thiết của ngành Kiểm sát nhân dân </w:t>
      </w:r>
      <w:r w:rsidR="00DC3034" w:rsidRPr="00DC3034">
        <w:rPr>
          <w:rFonts w:ascii="Times New Roman" w:eastAsia="Times New Roman" w:hAnsi="Times New Roman" w:cs="Times New Roman"/>
          <w:i/>
          <w:iCs/>
          <w:color w:val="000000" w:themeColor="text1"/>
          <w:spacing w:val="-2"/>
          <w:sz w:val="28"/>
          <w:szCs w:val="28"/>
          <w:lang w:val="fr-FR"/>
        </w:rPr>
        <w:t>(mục 4)</w:t>
      </w:r>
      <w:r w:rsidR="00DC3034" w:rsidRPr="00DC3034">
        <w:rPr>
          <w:rFonts w:ascii="Times New Roman" w:eastAsia="Times New Roman" w:hAnsi="Times New Roman" w:cs="Times New Roman"/>
          <w:color w:val="000000" w:themeColor="text1"/>
          <w:spacing w:val="-2"/>
          <w:sz w:val="28"/>
          <w:szCs w:val="28"/>
          <w:lang w:val="fr-FR"/>
        </w:rPr>
        <w:t xml:space="preserve">. Tại Công văn số 13061-CV/VPTW ngày 12 tháng 01 năm 2025 của Văn phòng Trung ương Đảng, Bộ Chính trị có ý kiến </w:t>
      </w:r>
      <w:r w:rsidR="00DC3034" w:rsidRPr="00DC3034">
        <w:rPr>
          <w:rFonts w:ascii="Times New Roman" w:eastAsia="Times New Roman" w:hAnsi="Times New Roman" w:cs="Times New Roman"/>
          <w:i/>
          <w:iCs/>
          <w:color w:val="000000" w:themeColor="text1"/>
          <w:spacing w:val="-2"/>
          <w:sz w:val="28"/>
          <w:szCs w:val="28"/>
          <w:lang w:val="fr-FR"/>
        </w:rPr>
        <w:t>"</w:t>
      </w:r>
      <w:r w:rsidR="00DC3034" w:rsidRPr="00DC3034">
        <w:rPr>
          <w:rFonts w:ascii="Times New Roman" w:eastAsia="Times New Roman" w:hAnsi="Times New Roman" w:cs="Times New Roman"/>
          <w:b/>
          <w:bCs/>
          <w:i/>
          <w:iCs/>
          <w:color w:val="000000" w:themeColor="text1"/>
          <w:spacing w:val="-2"/>
          <w:sz w:val="28"/>
          <w:szCs w:val="28"/>
          <w:lang w:val="fr-FR"/>
        </w:rPr>
        <w:t>cơ bản nhất trí</w:t>
      </w:r>
      <w:r w:rsidR="00DC3034" w:rsidRPr="00DC3034">
        <w:rPr>
          <w:rFonts w:ascii="Times New Roman" w:eastAsia="Times New Roman" w:hAnsi="Times New Roman" w:cs="Times New Roman"/>
          <w:i/>
          <w:iCs/>
          <w:color w:val="000000" w:themeColor="text1"/>
          <w:spacing w:val="-2"/>
          <w:sz w:val="28"/>
          <w:szCs w:val="28"/>
          <w:lang w:val="fr-FR"/>
        </w:rPr>
        <w:t xml:space="preserve"> với việc rà soát, sắp xếp, cơ cấu lại tổ chức bộ máy trong ngành Kiểm sát nhân dân"</w:t>
      </w:r>
      <w:r w:rsidR="00DC3034" w:rsidRPr="00DC3034">
        <w:rPr>
          <w:rFonts w:ascii="Times New Roman" w:eastAsia="Times New Roman" w:hAnsi="Times New Roman" w:cs="Times New Roman"/>
          <w:color w:val="000000" w:themeColor="text1"/>
          <w:spacing w:val="-2"/>
          <w:sz w:val="28"/>
          <w:szCs w:val="28"/>
          <w:lang w:val="fr-FR"/>
        </w:rPr>
        <w:t xml:space="preserve">. Do đó, </w:t>
      </w:r>
      <w:r w:rsidR="00C64D3A">
        <w:rPr>
          <w:rFonts w:ascii="Times New Roman" w:eastAsia="Times New Roman" w:hAnsi="Times New Roman" w:cs="Times New Roman"/>
          <w:color w:val="000000" w:themeColor="text1"/>
          <w:spacing w:val="-2"/>
          <w:sz w:val="28"/>
          <w:szCs w:val="28"/>
          <w:lang w:val="fr-FR"/>
        </w:rPr>
        <w:t>Thường trực UBTP</w:t>
      </w:r>
      <w:r w:rsidR="00DC3034" w:rsidRPr="00DC3034">
        <w:rPr>
          <w:rFonts w:ascii="Times New Roman" w:eastAsia="Times New Roman" w:hAnsi="Times New Roman" w:cs="Times New Roman"/>
          <w:color w:val="000000" w:themeColor="text1"/>
          <w:spacing w:val="-2"/>
          <w:sz w:val="28"/>
          <w:szCs w:val="28"/>
          <w:lang w:val="fr-FR"/>
        </w:rPr>
        <w:t xml:space="preserve"> tán thành Tờ trình của Viện trưởng VKSNDTC về đề nghị kết thúc hoạt động, sáp nhập và sắp xếp lại một số đơn vị cấp Vụ thuộc VKSNDTC. </w:t>
      </w:r>
    </w:p>
    <w:p w14:paraId="1C3DEC4E" w14:textId="77777777" w:rsidR="00DC3034" w:rsidRPr="00DC3034" w:rsidRDefault="00DC3034" w:rsidP="00F740AD">
      <w:pPr>
        <w:widowControl w:val="0"/>
        <w:spacing w:before="120" w:after="120" w:line="360" w:lineRule="exact"/>
        <w:ind w:firstLine="567"/>
        <w:jc w:val="both"/>
        <w:rPr>
          <w:rFonts w:ascii="Times New Roman Bold" w:eastAsia="Times New Roman" w:hAnsi="Times New Roman Bold" w:cs="Times New Roman"/>
          <w:b/>
          <w:i/>
          <w:iCs/>
          <w:color w:val="000000" w:themeColor="text1"/>
          <w:spacing w:val="2"/>
          <w:sz w:val="28"/>
          <w:szCs w:val="28"/>
          <w:lang w:val="fr-FR"/>
        </w:rPr>
      </w:pPr>
      <w:r w:rsidRPr="00DC3034">
        <w:rPr>
          <w:rFonts w:ascii="Times New Roman Bold" w:eastAsia="Times New Roman" w:hAnsi="Times New Roman Bold" w:cs="Times New Roman"/>
          <w:b/>
          <w:i/>
          <w:iCs/>
          <w:color w:val="000000" w:themeColor="text1"/>
          <w:spacing w:val="2"/>
          <w:sz w:val="28"/>
          <w:szCs w:val="28"/>
          <w:lang w:val="fr-FR"/>
        </w:rPr>
        <w:t>2.2. Về đề nghị chỉnh sửa tên của một số đơn vị thuộc VKSNDTC</w:t>
      </w:r>
    </w:p>
    <w:p w14:paraId="0CD5DABC" w14:textId="049D55BF" w:rsidR="00DC3034" w:rsidRPr="00DC3034" w:rsidRDefault="00C64D3A" w:rsidP="00F740AD">
      <w:pPr>
        <w:widowControl w:val="0"/>
        <w:spacing w:before="120" w:after="120" w:line="360" w:lineRule="exact"/>
        <w:ind w:firstLine="567"/>
        <w:jc w:val="both"/>
        <w:rPr>
          <w:rFonts w:ascii="Times New Roman" w:eastAsia="Times New Roman" w:hAnsi="Times New Roman" w:cs="Times New Roman"/>
          <w:color w:val="000000" w:themeColor="text1"/>
          <w:spacing w:val="2"/>
          <w:sz w:val="28"/>
          <w:szCs w:val="28"/>
          <w:lang w:val="fr-FR"/>
        </w:rPr>
      </w:pPr>
      <w:r>
        <w:rPr>
          <w:rFonts w:ascii="Times New Roman" w:eastAsia="Times New Roman" w:hAnsi="Times New Roman" w:cs="Times New Roman"/>
          <w:color w:val="000000" w:themeColor="text1"/>
          <w:spacing w:val="2"/>
          <w:sz w:val="28"/>
          <w:szCs w:val="28"/>
          <w:lang w:val="fr-FR"/>
        </w:rPr>
        <w:t>Thường trực UBTP</w:t>
      </w:r>
      <w:r w:rsidR="00DC3034" w:rsidRPr="00DC3034">
        <w:rPr>
          <w:rFonts w:ascii="Times New Roman" w:eastAsia="Times New Roman" w:hAnsi="Times New Roman" w:cs="Times New Roman"/>
          <w:color w:val="000000" w:themeColor="text1"/>
          <w:spacing w:val="2"/>
          <w:sz w:val="28"/>
          <w:szCs w:val="28"/>
          <w:lang w:val="fr-FR"/>
        </w:rPr>
        <w:t xml:space="preserve"> tán thành đề nghị của Viện trưởng VKSNDTC</w:t>
      </w:r>
      <w:r w:rsidR="000A52A1" w:rsidRPr="000A52A1">
        <w:rPr>
          <w:rFonts w:ascii="Times New Roman" w:eastAsia="Times New Roman" w:hAnsi="Times New Roman" w:cs="Times New Roman"/>
          <w:color w:val="000000" w:themeColor="text1"/>
          <w:spacing w:val="2"/>
          <w:sz w:val="28"/>
          <w:szCs w:val="28"/>
          <w:lang w:val="fr-FR"/>
        </w:rPr>
        <w:t xml:space="preserve"> </w:t>
      </w:r>
      <w:r w:rsidR="00582B65">
        <w:rPr>
          <w:rFonts w:ascii="Times New Roman" w:eastAsia="Times New Roman" w:hAnsi="Times New Roman" w:cs="Times New Roman"/>
          <w:color w:val="000000" w:themeColor="text1"/>
          <w:spacing w:val="2"/>
          <w:sz w:val="28"/>
          <w:szCs w:val="28"/>
          <w:lang w:val="fr-FR"/>
        </w:rPr>
        <w:t>v</w:t>
      </w:r>
      <w:r w:rsidR="000A52A1">
        <w:rPr>
          <w:rFonts w:ascii="Times New Roman" w:eastAsia="Times New Roman" w:hAnsi="Times New Roman" w:cs="Times New Roman"/>
          <w:color w:val="000000" w:themeColor="text1"/>
          <w:spacing w:val="2"/>
          <w:sz w:val="28"/>
          <w:szCs w:val="28"/>
          <w:lang w:val="fr-FR"/>
        </w:rPr>
        <w:t xml:space="preserve">ề việc </w:t>
      </w:r>
      <w:r w:rsidR="000A52A1" w:rsidRPr="00DC3034">
        <w:rPr>
          <w:rFonts w:ascii="Times New Roman" w:eastAsia="Times New Roman" w:hAnsi="Times New Roman" w:cs="Times New Roman"/>
          <w:color w:val="000000" w:themeColor="text1"/>
          <w:spacing w:val="2"/>
          <w:sz w:val="28"/>
          <w:szCs w:val="28"/>
          <w:lang w:val="fr-FR"/>
        </w:rPr>
        <w:t>chỉnh sửa tên của một số đơn vị thuộc VKSNDTC</w:t>
      </w:r>
      <w:r w:rsidR="00614DC7">
        <w:rPr>
          <w:rFonts w:ascii="Times New Roman" w:eastAsia="Times New Roman" w:hAnsi="Times New Roman" w:cs="Times New Roman"/>
          <w:color w:val="000000" w:themeColor="text1"/>
          <w:spacing w:val="2"/>
          <w:sz w:val="28"/>
          <w:szCs w:val="28"/>
          <w:lang w:val="fr-FR"/>
        </w:rPr>
        <w:t>,</w:t>
      </w:r>
      <w:r w:rsidR="00331E6D">
        <w:rPr>
          <w:rFonts w:ascii="Times New Roman" w:eastAsia="Times New Roman" w:hAnsi="Times New Roman" w:cs="Times New Roman"/>
          <w:color w:val="000000" w:themeColor="text1"/>
          <w:spacing w:val="2"/>
          <w:sz w:val="28"/>
          <w:szCs w:val="28"/>
          <w:lang w:val="fr-FR"/>
        </w:rPr>
        <w:t xml:space="preserve"> </w:t>
      </w:r>
      <w:r w:rsidR="00DC3034" w:rsidRPr="00DC3034">
        <w:rPr>
          <w:rFonts w:ascii="Times New Roman" w:eastAsia="Times New Roman" w:hAnsi="Times New Roman" w:cs="Times New Roman"/>
          <w:color w:val="000000" w:themeColor="text1"/>
          <w:spacing w:val="2"/>
          <w:sz w:val="28"/>
          <w:szCs w:val="28"/>
          <w:lang w:val="fr-FR"/>
        </w:rPr>
        <w:t>đảm bảo ngắn gọn, khái quát nhưng vẫn thể hiện đầy đủ chức năng, nhiệm vụ của đơn vị</w:t>
      </w:r>
      <w:r w:rsidR="00331E6D">
        <w:rPr>
          <w:rFonts w:ascii="Times New Roman" w:eastAsia="Times New Roman" w:hAnsi="Times New Roman" w:cs="Times New Roman"/>
          <w:color w:val="000000" w:themeColor="text1"/>
          <w:spacing w:val="2"/>
          <w:sz w:val="28"/>
          <w:szCs w:val="28"/>
          <w:lang w:val="fr-FR"/>
        </w:rPr>
        <w:t xml:space="preserve"> (như đã thể hiện tại Điều 1 dự thảo Nghị quyết).</w:t>
      </w:r>
    </w:p>
    <w:p w14:paraId="03350B7C" w14:textId="77777777" w:rsidR="00DC3034" w:rsidRPr="00DC3034" w:rsidRDefault="00DC3034" w:rsidP="00F740AD">
      <w:pPr>
        <w:widowControl w:val="0"/>
        <w:spacing w:before="120" w:after="120" w:line="360" w:lineRule="exact"/>
        <w:ind w:firstLine="567"/>
        <w:jc w:val="both"/>
        <w:rPr>
          <w:rFonts w:ascii="Times New Roman" w:eastAsia="Times New Roman" w:hAnsi="Times New Roman" w:cs="Times New Roman"/>
          <w:b/>
          <w:bCs/>
          <w:color w:val="000000" w:themeColor="text1"/>
          <w:spacing w:val="2"/>
          <w:sz w:val="28"/>
          <w:szCs w:val="28"/>
          <w:lang w:val="fr-FR"/>
        </w:rPr>
      </w:pPr>
      <w:r w:rsidRPr="00DC3034">
        <w:rPr>
          <w:rFonts w:ascii="Times New Roman" w:eastAsia="Times New Roman" w:hAnsi="Times New Roman" w:cs="Times New Roman"/>
          <w:b/>
          <w:bCs/>
          <w:color w:val="000000" w:themeColor="text1"/>
          <w:spacing w:val="2"/>
          <w:sz w:val="28"/>
          <w:szCs w:val="28"/>
          <w:lang w:val="fr-FR"/>
        </w:rPr>
        <w:t>3. Về dự thảo Nghị quyết</w:t>
      </w:r>
    </w:p>
    <w:p w14:paraId="0F2654FF" w14:textId="2009D130" w:rsidR="00BC7273" w:rsidRPr="00BC7273" w:rsidRDefault="00BC7273" w:rsidP="00BC7273">
      <w:pPr>
        <w:widowControl w:val="0"/>
        <w:shd w:val="clear" w:color="auto" w:fill="FFFFFF"/>
        <w:spacing w:before="120" w:after="120" w:line="360" w:lineRule="exact"/>
        <w:ind w:firstLine="567"/>
        <w:jc w:val="both"/>
        <w:rPr>
          <w:rFonts w:ascii="Times New Roman" w:eastAsia="Times New Roman" w:hAnsi="Times New Roman" w:cs="Times New Roman"/>
          <w:iCs/>
          <w:color w:val="000000" w:themeColor="text1"/>
          <w:spacing w:val="-4"/>
          <w:sz w:val="28"/>
          <w:szCs w:val="28"/>
          <w:lang w:val="it-IT"/>
        </w:rPr>
      </w:pPr>
      <w:r>
        <w:rPr>
          <w:rFonts w:ascii="Times New Roman" w:eastAsia="Times New Roman" w:hAnsi="Times New Roman" w:cs="Times New Roman"/>
          <w:iCs/>
          <w:color w:val="000000" w:themeColor="text1"/>
          <w:spacing w:val="-4"/>
          <w:sz w:val="28"/>
          <w:szCs w:val="28"/>
          <w:lang w:val="it-IT"/>
        </w:rPr>
        <w:t xml:space="preserve">Đa số ý kiến </w:t>
      </w:r>
      <w:r w:rsidR="00C64D3A" w:rsidRPr="00264615">
        <w:rPr>
          <w:rFonts w:ascii="Times New Roman" w:eastAsia="Times New Roman" w:hAnsi="Times New Roman" w:cs="Times New Roman"/>
          <w:iCs/>
          <w:color w:val="000000" w:themeColor="text1"/>
          <w:spacing w:val="-4"/>
          <w:sz w:val="28"/>
          <w:szCs w:val="28"/>
          <w:lang w:val="it-IT"/>
        </w:rPr>
        <w:t>Thường trực UBTP</w:t>
      </w:r>
      <w:r w:rsidR="00DC3034" w:rsidRPr="00264615">
        <w:rPr>
          <w:rFonts w:ascii="Times New Roman" w:eastAsia="Times New Roman" w:hAnsi="Times New Roman" w:cs="Times New Roman"/>
          <w:iCs/>
          <w:color w:val="000000" w:themeColor="text1"/>
          <w:spacing w:val="-4"/>
          <w:sz w:val="28"/>
          <w:szCs w:val="28"/>
          <w:lang w:val="it-IT"/>
        </w:rPr>
        <w:t xml:space="preserve"> tán thành dự thảo Nghị quyết</w:t>
      </w:r>
      <w:r w:rsidR="00614DC7" w:rsidRPr="00264615">
        <w:rPr>
          <w:rFonts w:ascii="Times New Roman" w:eastAsia="Times New Roman" w:hAnsi="Times New Roman" w:cs="Times New Roman"/>
          <w:iCs/>
          <w:color w:val="000000" w:themeColor="text1"/>
          <w:spacing w:val="-4"/>
          <w:sz w:val="28"/>
          <w:szCs w:val="28"/>
          <w:lang w:val="it-IT"/>
        </w:rPr>
        <w:t xml:space="preserve"> do</w:t>
      </w:r>
      <w:r w:rsidR="00DC3034" w:rsidRPr="00264615">
        <w:rPr>
          <w:rFonts w:ascii="Times New Roman" w:eastAsia="Times New Roman" w:hAnsi="Times New Roman" w:cs="Times New Roman"/>
          <w:iCs/>
          <w:color w:val="000000" w:themeColor="text1"/>
          <w:spacing w:val="-4"/>
          <w:sz w:val="28"/>
          <w:szCs w:val="28"/>
          <w:lang w:val="it-IT"/>
        </w:rPr>
        <w:t xml:space="preserve"> </w:t>
      </w:r>
      <w:r w:rsidR="00E61D82">
        <w:rPr>
          <w:rFonts w:ascii="Times New Roman" w:eastAsia="Times New Roman" w:hAnsi="Times New Roman" w:cs="Times New Roman"/>
          <w:iCs/>
          <w:color w:val="000000" w:themeColor="text1"/>
          <w:spacing w:val="-4"/>
          <w:sz w:val="28"/>
          <w:szCs w:val="28"/>
          <w:lang w:val="it-IT"/>
        </w:rPr>
        <w:t>VKSNDTC</w:t>
      </w:r>
      <w:r w:rsidR="00DC3034" w:rsidRPr="00264615">
        <w:rPr>
          <w:rFonts w:ascii="Times New Roman" w:eastAsia="Times New Roman" w:hAnsi="Times New Roman" w:cs="Times New Roman"/>
          <w:iCs/>
          <w:color w:val="000000" w:themeColor="text1"/>
          <w:spacing w:val="-4"/>
          <w:sz w:val="28"/>
          <w:szCs w:val="28"/>
          <w:lang w:val="it-IT"/>
        </w:rPr>
        <w:t xml:space="preserve"> trình</w:t>
      </w:r>
      <w:r w:rsidR="002F535F" w:rsidRPr="00264615">
        <w:rPr>
          <w:rFonts w:ascii="Times New Roman" w:eastAsia="Times New Roman" w:hAnsi="Times New Roman" w:cs="Times New Roman"/>
          <w:iCs/>
          <w:color w:val="000000" w:themeColor="text1"/>
          <w:spacing w:val="-4"/>
          <w:sz w:val="28"/>
          <w:szCs w:val="28"/>
          <w:lang w:val="it-IT"/>
        </w:rPr>
        <w:t>, bảo đảm thực hiện đúng quy định của Luật Tổ chức VKSND năm 2014</w:t>
      </w:r>
      <w:r>
        <w:rPr>
          <w:rFonts w:ascii="Times New Roman" w:eastAsia="Times New Roman" w:hAnsi="Times New Roman" w:cs="Times New Roman"/>
          <w:iCs/>
          <w:color w:val="000000" w:themeColor="text1"/>
          <w:spacing w:val="-4"/>
          <w:sz w:val="28"/>
          <w:szCs w:val="28"/>
          <w:lang w:val="it-IT"/>
        </w:rPr>
        <w:t xml:space="preserve">, </w:t>
      </w:r>
      <w:r w:rsidR="009B0347">
        <w:rPr>
          <w:rFonts w:ascii="Times New Roman" w:eastAsia="Times New Roman" w:hAnsi="Times New Roman" w:cs="Times New Roman"/>
          <w:iCs/>
          <w:color w:val="000000" w:themeColor="text1"/>
          <w:spacing w:val="-4"/>
          <w:sz w:val="28"/>
          <w:szCs w:val="28"/>
          <w:lang w:val="it-IT"/>
        </w:rPr>
        <w:t>K</w:t>
      </w:r>
      <w:r>
        <w:rPr>
          <w:rFonts w:ascii="Times New Roman" w:eastAsia="Times New Roman" w:hAnsi="Times New Roman" w:cs="Times New Roman"/>
          <w:iCs/>
          <w:color w:val="000000" w:themeColor="text1"/>
          <w:spacing w:val="-4"/>
          <w:sz w:val="28"/>
          <w:szCs w:val="28"/>
          <w:lang w:val="it-IT"/>
        </w:rPr>
        <w:t>ết luận của UBTVQH</w:t>
      </w:r>
      <w:r w:rsidRPr="00E61D82">
        <w:rPr>
          <w:rStyle w:val="FootnoteReference"/>
          <w:rFonts w:ascii="Times New Roman" w:eastAsia="Times New Roman" w:hAnsi="Times New Roman" w:cs="Times New Roman"/>
          <w:b/>
          <w:iCs/>
          <w:color w:val="000000" w:themeColor="text1"/>
          <w:spacing w:val="-4"/>
          <w:sz w:val="28"/>
          <w:szCs w:val="28"/>
          <w:lang w:val="it-IT"/>
        </w:rPr>
        <w:footnoteReference w:id="3"/>
      </w:r>
      <w:r w:rsidR="002F535F" w:rsidRPr="00E61D82">
        <w:rPr>
          <w:rFonts w:ascii="Times New Roman" w:eastAsia="Times New Roman" w:hAnsi="Times New Roman" w:cs="Times New Roman"/>
          <w:b/>
          <w:iCs/>
          <w:color w:val="000000" w:themeColor="text1"/>
          <w:spacing w:val="-4"/>
          <w:sz w:val="28"/>
          <w:szCs w:val="28"/>
          <w:lang w:val="it-IT"/>
        </w:rPr>
        <w:t xml:space="preserve"> </w:t>
      </w:r>
      <w:r w:rsidR="002F535F" w:rsidRPr="00264615">
        <w:rPr>
          <w:rFonts w:ascii="Times New Roman" w:eastAsia="Times New Roman" w:hAnsi="Times New Roman" w:cs="Times New Roman"/>
          <w:iCs/>
          <w:color w:val="000000" w:themeColor="text1"/>
          <w:spacing w:val="-4"/>
          <w:sz w:val="28"/>
          <w:szCs w:val="28"/>
          <w:lang w:val="it-IT"/>
        </w:rPr>
        <w:t>và</w:t>
      </w:r>
      <w:r w:rsidR="00264615" w:rsidRPr="00264615">
        <w:rPr>
          <w:rFonts w:ascii="Times New Roman" w:eastAsia="Times New Roman" w:hAnsi="Times New Roman" w:cs="Times New Roman"/>
          <w:iCs/>
          <w:color w:val="000000" w:themeColor="text1"/>
          <w:spacing w:val="-4"/>
          <w:sz w:val="28"/>
          <w:szCs w:val="28"/>
          <w:lang w:val="it-IT"/>
        </w:rPr>
        <w:t xml:space="preserve"> cơ bản</w:t>
      </w:r>
      <w:r w:rsidR="002F535F" w:rsidRPr="00264615">
        <w:rPr>
          <w:rFonts w:ascii="Times New Roman" w:eastAsia="Times New Roman" w:hAnsi="Times New Roman" w:cs="Times New Roman"/>
          <w:iCs/>
          <w:color w:val="000000" w:themeColor="text1"/>
          <w:spacing w:val="-4"/>
          <w:sz w:val="28"/>
          <w:szCs w:val="28"/>
          <w:lang w:val="it-IT"/>
        </w:rPr>
        <w:t xml:space="preserve"> </w:t>
      </w:r>
      <w:r w:rsidR="006609E9" w:rsidRPr="00264615">
        <w:rPr>
          <w:rFonts w:ascii="Times New Roman" w:eastAsia="Times New Roman" w:hAnsi="Times New Roman" w:cs="Times New Roman"/>
          <w:iCs/>
          <w:color w:val="000000" w:themeColor="text1"/>
          <w:spacing w:val="-4"/>
          <w:sz w:val="28"/>
          <w:szCs w:val="28"/>
          <w:lang w:val="it-IT"/>
        </w:rPr>
        <w:t xml:space="preserve">thống nhất với Nghị quyết của UBTVQH </w:t>
      </w:r>
      <w:r w:rsidR="00264615" w:rsidRPr="00264615">
        <w:rPr>
          <w:rFonts w:ascii="Times New Roman" w:eastAsia="Times New Roman" w:hAnsi="Times New Roman" w:cs="Times New Roman"/>
          <w:iCs/>
          <w:color w:val="000000" w:themeColor="text1"/>
          <w:spacing w:val="-4"/>
          <w:sz w:val="28"/>
          <w:szCs w:val="28"/>
          <w:lang w:val="it-IT"/>
        </w:rPr>
        <w:t xml:space="preserve">phê chuẩn đề nghị </w:t>
      </w:r>
      <w:r w:rsidR="00264615" w:rsidRPr="00264615">
        <w:rPr>
          <w:rFonts w:ascii="Times New Roman" w:eastAsia="Times New Roman" w:hAnsi="Times New Roman" w:cs="Times New Roman"/>
          <w:iCs/>
          <w:color w:val="000000" w:themeColor="text1"/>
          <w:spacing w:val="-4"/>
          <w:sz w:val="28"/>
          <w:szCs w:val="28"/>
          <w:lang w:val="it-IT"/>
        </w:rPr>
        <w:lastRenderedPageBreak/>
        <w:t>của Chánh án Tòa án nhân dân tối cao về Cục, Vụ và tương đương, Cơ quan báo chí của Tòa án nhân dân tối cao</w:t>
      </w:r>
      <w:r w:rsidR="00CD3116" w:rsidRPr="00264615">
        <w:rPr>
          <w:rFonts w:ascii="Times New Roman" w:eastAsia="Times New Roman" w:hAnsi="Times New Roman" w:cs="Times New Roman"/>
          <w:iCs/>
          <w:color w:val="000000" w:themeColor="text1"/>
          <w:spacing w:val="-4"/>
          <w:sz w:val="28"/>
          <w:szCs w:val="28"/>
          <w:lang w:val="it-IT"/>
        </w:rPr>
        <w:t xml:space="preserve"> mới được ban hành</w:t>
      </w:r>
      <w:r w:rsidR="009B0347">
        <w:rPr>
          <w:rFonts w:ascii="Times New Roman" w:eastAsia="Times New Roman" w:hAnsi="Times New Roman" w:cs="Times New Roman"/>
          <w:iCs/>
          <w:color w:val="000000" w:themeColor="text1"/>
          <w:spacing w:val="-4"/>
          <w:sz w:val="28"/>
          <w:szCs w:val="28"/>
          <w:lang w:val="it-IT"/>
        </w:rPr>
        <w:t xml:space="preserve">, </w:t>
      </w:r>
      <w:r w:rsidR="009B0347" w:rsidRPr="00234094">
        <w:rPr>
          <w:rFonts w:ascii="Times New Roman" w:eastAsia="Times New Roman" w:hAnsi="Times New Roman" w:cs="Times New Roman"/>
          <w:b/>
          <w:bCs/>
          <w:i/>
          <w:color w:val="000000" w:themeColor="text1"/>
          <w:spacing w:val="-4"/>
          <w:sz w:val="28"/>
          <w:szCs w:val="28"/>
          <w:lang w:val="it-IT"/>
        </w:rPr>
        <w:t>cũng đã bỏ quy định về giới hạn số lượng cấp phó tại các đơn vị cấp Cục, Vụ, Phòng</w:t>
      </w:r>
      <w:r w:rsidR="004864F0" w:rsidRPr="004864F0">
        <w:rPr>
          <w:rStyle w:val="FootnoteReference"/>
          <w:rFonts w:ascii="Times New Roman" w:eastAsia="Times New Roman" w:hAnsi="Times New Roman" w:cs="Times New Roman"/>
          <w:b/>
          <w:bCs/>
          <w:iCs/>
          <w:color w:val="000000" w:themeColor="text1"/>
          <w:spacing w:val="-4"/>
          <w:sz w:val="28"/>
          <w:szCs w:val="28"/>
          <w:lang w:val="it-IT"/>
        </w:rPr>
        <w:footnoteReference w:id="4"/>
      </w:r>
      <w:r w:rsidR="003073E8" w:rsidRPr="00264615">
        <w:rPr>
          <w:rFonts w:ascii="Times New Roman" w:eastAsia="Times New Roman" w:hAnsi="Times New Roman" w:cs="Times New Roman"/>
          <w:iCs/>
          <w:color w:val="000000" w:themeColor="text1"/>
          <w:spacing w:val="-4"/>
          <w:sz w:val="28"/>
          <w:szCs w:val="28"/>
          <w:lang w:val="it-IT"/>
        </w:rPr>
        <w:t>.</w:t>
      </w:r>
      <w:r>
        <w:rPr>
          <w:rFonts w:ascii="Times New Roman" w:eastAsia="Times New Roman" w:hAnsi="Times New Roman" w:cs="Times New Roman"/>
          <w:iCs/>
          <w:color w:val="000000" w:themeColor="text1"/>
          <w:spacing w:val="-4"/>
          <w:sz w:val="28"/>
          <w:szCs w:val="28"/>
          <w:lang w:val="it-IT"/>
        </w:rPr>
        <w:t xml:space="preserve"> So </w:t>
      </w:r>
      <w:r w:rsidRPr="00BC7273">
        <w:rPr>
          <w:rFonts w:ascii="Times New Roman" w:eastAsia="Times New Roman" w:hAnsi="Times New Roman" w:cs="Times New Roman"/>
          <w:iCs/>
          <w:color w:val="000000" w:themeColor="text1"/>
          <w:spacing w:val="-4"/>
          <w:sz w:val="28"/>
          <w:szCs w:val="28"/>
          <w:lang w:val="it-IT"/>
        </w:rPr>
        <w:t xml:space="preserve">với Nghị quyết 951/NQ-UBTVQH13 ngày 28/5/2015 của </w:t>
      </w:r>
      <w:r w:rsidR="00E61D82">
        <w:rPr>
          <w:rFonts w:ascii="Times New Roman" w:eastAsia="Times New Roman" w:hAnsi="Times New Roman" w:cs="Times New Roman"/>
          <w:iCs/>
          <w:color w:val="000000" w:themeColor="text1"/>
          <w:spacing w:val="-4"/>
          <w:sz w:val="28"/>
          <w:szCs w:val="28"/>
          <w:lang w:val="it-IT"/>
        </w:rPr>
        <w:t>UBTVQH</w:t>
      </w:r>
      <w:r w:rsidRPr="00BC7273">
        <w:rPr>
          <w:rFonts w:ascii="Times New Roman" w:eastAsia="Times New Roman" w:hAnsi="Times New Roman" w:cs="Times New Roman"/>
          <w:iCs/>
          <w:color w:val="000000" w:themeColor="text1"/>
          <w:spacing w:val="-4"/>
          <w:sz w:val="28"/>
          <w:szCs w:val="28"/>
          <w:lang w:val="it-IT"/>
        </w:rPr>
        <w:t xml:space="preserve"> về </w:t>
      </w:r>
      <w:r w:rsidRPr="00BC7273">
        <w:rPr>
          <w:rFonts w:ascii="Times New Roman" w:hAnsi="Times New Roman" w:cs="Times New Roman"/>
          <w:color w:val="000000"/>
          <w:sz w:val="28"/>
          <w:szCs w:val="28"/>
          <w:shd w:val="clear" w:color="auto" w:fill="FFFFFF"/>
        </w:rPr>
        <w:t xml:space="preserve">phê chuẩn đề nghị của Viện trưởng </w:t>
      </w:r>
      <w:r w:rsidR="00E61D82">
        <w:rPr>
          <w:rFonts w:ascii="Times New Roman" w:hAnsi="Times New Roman" w:cs="Times New Roman"/>
          <w:color w:val="000000"/>
          <w:sz w:val="28"/>
          <w:szCs w:val="28"/>
          <w:shd w:val="clear" w:color="auto" w:fill="FFFFFF"/>
        </w:rPr>
        <w:t>VKSNDTC</w:t>
      </w:r>
      <w:r w:rsidRPr="00BC7273">
        <w:rPr>
          <w:rFonts w:ascii="Times New Roman" w:hAnsi="Times New Roman" w:cs="Times New Roman"/>
          <w:color w:val="000000"/>
          <w:sz w:val="28"/>
          <w:szCs w:val="28"/>
          <w:shd w:val="clear" w:color="auto" w:fill="FFFFFF"/>
        </w:rPr>
        <w:t xml:space="preserve"> về bộ máy làm việc của </w:t>
      </w:r>
      <w:r w:rsidR="00E61D82">
        <w:rPr>
          <w:rFonts w:ascii="Times New Roman" w:hAnsi="Times New Roman" w:cs="Times New Roman"/>
          <w:color w:val="000000"/>
          <w:sz w:val="28"/>
          <w:szCs w:val="28"/>
          <w:shd w:val="clear" w:color="auto" w:fill="FFFFFF"/>
        </w:rPr>
        <w:t>VKSNDTC</w:t>
      </w:r>
      <w:r w:rsidRPr="00BC7273">
        <w:rPr>
          <w:rFonts w:ascii="Times New Roman" w:hAnsi="Times New Roman" w:cs="Times New Roman"/>
          <w:color w:val="000000"/>
          <w:sz w:val="28"/>
          <w:szCs w:val="28"/>
          <w:shd w:val="clear" w:color="auto" w:fill="FFFFFF"/>
        </w:rPr>
        <w:t>, dự thảo Nghị quyết lần này đã bỏ quy định về số lượng tối đa Phó Viện trưởng VKSNDTC (do đã được sửa đổi, thay thế bởi Nghị quyết số 1189/NQ-UBTVQH15 ngày 27/9/2024 của UBTVQH), bỏ quy định về số lượng tối đa cấp phó tại các đơn vị cấp cục, vụ, phòng của VKSNDTC (do Luật Tổ chức VKSNDTC không giao thẩm quyền cho UBTVQH quy định).</w:t>
      </w:r>
    </w:p>
    <w:p w14:paraId="01D05B71" w14:textId="647919E3" w:rsidR="00BC7273" w:rsidRPr="00264615" w:rsidRDefault="00BC7273" w:rsidP="00BC7273">
      <w:pPr>
        <w:widowControl w:val="0"/>
        <w:shd w:val="clear" w:color="auto" w:fill="FFFFFF"/>
        <w:spacing w:before="120" w:after="120" w:line="360" w:lineRule="exact"/>
        <w:ind w:firstLine="720"/>
        <w:jc w:val="both"/>
        <w:rPr>
          <w:rFonts w:ascii="Times New Roman" w:eastAsia="Times New Roman" w:hAnsi="Times New Roman" w:cs="Times New Roman"/>
          <w:iCs/>
          <w:color w:val="000000" w:themeColor="text1"/>
          <w:spacing w:val="-4"/>
          <w:sz w:val="28"/>
          <w:szCs w:val="28"/>
          <w:lang w:val="it-IT"/>
        </w:rPr>
      </w:pPr>
      <w:r>
        <w:rPr>
          <w:rFonts w:ascii="Times New Roman" w:eastAsia="Times New Roman" w:hAnsi="Times New Roman" w:cs="Times New Roman"/>
          <w:iCs/>
          <w:color w:val="000000" w:themeColor="text1"/>
          <w:spacing w:val="-4"/>
          <w:sz w:val="28"/>
          <w:szCs w:val="28"/>
          <w:lang w:val="it-IT"/>
        </w:rPr>
        <w:t xml:space="preserve">Có ý kiến cho rằng, việc dự thảo Nghị quyết bỏ quy định về giới hạn số lượng cấp phó của </w:t>
      </w:r>
      <w:r w:rsidR="00E61D82">
        <w:rPr>
          <w:rFonts w:ascii="Times New Roman" w:eastAsia="Times New Roman" w:hAnsi="Times New Roman" w:cs="Times New Roman"/>
          <w:iCs/>
          <w:color w:val="000000" w:themeColor="text1"/>
          <w:spacing w:val="-4"/>
          <w:sz w:val="28"/>
          <w:szCs w:val="28"/>
          <w:lang w:val="it-IT"/>
        </w:rPr>
        <w:t>VKSNDTC</w:t>
      </w:r>
      <w:r>
        <w:rPr>
          <w:rFonts w:ascii="Times New Roman" w:eastAsia="Times New Roman" w:hAnsi="Times New Roman" w:cs="Times New Roman"/>
          <w:iCs/>
          <w:color w:val="000000" w:themeColor="text1"/>
          <w:spacing w:val="-4"/>
          <w:sz w:val="28"/>
          <w:szCs w:val="28"/>
          <w:lang w:val="it-IT"/>
        </w:rPr>
        <w:t xml:space="preserve"> và cấp phó của các cục, vụ, phòng thuộc bộ máy làm việc của VKSNDTC dễ dẫn đến cách hiểu là đối với VKSNDTC sẽ không còn giới hạn về bổ nhiệm số lượng cấp phó. Trong bối cảnh thực hiện chủ trương của Đảng về tinh giản bộ máy, biên chế, ý kiến này cho rằng cần phải giữ lại quy định này trong dự thảo Nghị quyết nhưng có bổ sung những trường hợp đặc biệt do sắp xếp lại tổ chức bộ máy để thực hiện chủ trương của Đảng; trường hợp nội dung này không được tiếp tục quy định trong dự thảo Nghị quyết thì phải được quy định trong một văn bản khác của cơ quan nhà nước có thẩm quyền.</w:t>
      </w:r>
    </w:p>
    <w:p w14:paraId="779BE097" w14:textId="2D6E8E02" w:rsidR="000B1276" w:rsidRPr="005B64BC" w:rsidRDefault="000B1276" w:rsidP="00F740AD">
      <w:pPr>
        <w:widowControl w:val="0"/>
        <w:spacing w:before="120" w:after="120" w:line="360" w:lineRule="exact"/>
        <w:ind w:firstLine="720"/>
        <w:jc w:val="both"/>
        <w:rPr>
          <w:rFonts w:ascii="Times New Roman" w:hAnsi="Times New Roman" w:cs="Times New Roman"/>
          <w:i/>
          <w:sz w:val="28"/>
          <w:szCs w:val="28"/>
        </w:rPr>
      </w:pPr>
      <w:r w:rsidRPr="005B64BC">
        <w:rPr>
          <w:rFonts w:ascii="Times New Roman" w:hAnsi="Times New Roman" w:cs="Times New Roman"/>
          <w:i/>
          <w:sz w:val="28"/>
          <w:szCs w:val="28"/>
        </w:rPr>
        <w:t xml:space="preserve">Kính thưa Ủy ban Thường vụ Quốc hội, </w:t>
      </w:r>
    </w:p>
    <w:p w14:paraId="37FED851" w14:textId="0C2E96DC" w:rsidR="00AD2353" w:rsidRPr="005B64BC" w:rsidRDefault="00AD2353" w:rsidP="00F740AD">
      <w:pPr>
        <w:widowControl w:val="0"/>
        <w:spacing w:before="120" w:after="120" w:line="360" w:lineRule="exact"/>
        <w:ind w:firstLine="720"/>
        <w:jc w:val="both"/>
        <w:rPr>
          <w:rFonts w:ascii="Times New Roman" w:eastAsia="Times New Roman" w:hAnsi="Times New Roman" w:cs="Times New Roman"/>
          <w:color w:val="000000"/>
          <w:sz w:val="28"/>
          <w:szCs w:val="28"/>
          <w:lang w:val="fr-FR"/>
        </w:rPr>
      </w:pPr>
      <w:r w:rsidRPr="005B64BC">
        <w:rPr>
          <w:rFonts w:ascii="Times New Roman" w:hAnsi="Times New Roman" w:cs="Times New Roman"/>
          <w:sz w:val="28"/>
          <w:szCs w:val="28"/>
        </w:rPr>
        <w:t xml:space="preserve">Trên đây là ý kiến </w:t>
      </w:r>
      <w:r w:rsidR="00CD0ED6" w:rsidRPr="005B64BC">
        <w:rPr>
          <w:rFonts w:ascii="Times New Roman" w:hAnsi="Times New Roman" w:cs="Times New Roman"/>
          <w:sz w:val="28"/>
          <w:szCs w:val="28"/>
        </w:rPr>
        <w:t xml:space="preserve">thẩm tra </w:t>
      </w:r>
      <w:r w:rsidRPr="005B64BC">
        <w:rPr>
          <w:rFonts w:ascii="Times New Roman" w:hAnsi="Times New Roman" w:cs="Times New Roman"/>
          <w:sz w:val="28"/>
          <w:szCs w:val="28"/>
        </w:rPr>
        <w:t xml:space="preserve">của </w:t>
      </w:r>
      <w:r w:rsidR="00B205B7" w:rsidRPr="005B64BC">
        <w:rPr>
          <w:rFonts w:ascii="Times New Roman" w:hAnsi="Times New Roman" w:cs="Times New Roman"/>
          <w:sz w:val="28"/>
          <w:szCs w:val="28"/>
        </w:rPr>
        <w:t xml:space="preserve">Thường trực </w:t>
      </w:r>
      <w:r w:rsidR="000B1276" w:rsidRPr="005B64BC">
        <w:rPr>
          <w:rFonts w:ascii="Times New Roman" w:hAnsi="Times New Roman" w:cs="Times New Roman"/>
          <w:sz w:val="28"/>
          <w:szCs w:val="28"/>
        </w:rPr>
        <w:t xml:space="preserve">Ủy ban Tư pháp </w:t>
      </w:r>
      <w:r w:rsidRPr="005B64BC">
        <w:rPr>
          <w:rFonts w:ascii="Times New Roman" w:eastAsia="Times New Roman" w:hAnsi="Times New Roman" w:cs="Times New Roman"/>
          <w:color w:val="000000"/>
          <w:sz w:val="28"/>
          <w:szCs w:val="28"/>
          <w:lang w:val="fr-FR"/>
        </w:rPr>
        <w:t xml:space="preserve">đối với Tờ trình của Viện trưởng Viện kiểm sát nhân dân tối cao </w:t>
      </w:r>
      <w:r w:rsidR="00E61D82">
        <w:rPr>
          <w:rFonts w:ascii="Times New Roman" w:eastAsia="Times New Roman" w:hAnsi="Times New Roman" w:cs="Times New Roman"/>
          <w:color w:val="000000"/>
          <w:sz w:val="28"/>
          <w:szCs w:val="28"/>
          <w:lang w:val="fr-FR"/>
        </w:rPr>
        <w:t>đề nghị</w:t>
      </w:r>
      <w:r w:rsidR="00D14012" w:rsidRPr="00D14012">
        <w:rPr>
          <w:rFonts w:ascii="Times New Roman" w:eastAsia="Times New Roman" w:hAnsi="Times New Roman" w:cs="Times New Roman"/>
          <w:color w:val="000000"/>
          <w:sz w:val="28"/>
          <w:szCs w:val="28"/>
          <w:lang w:val="fr-FR"/>
        </w:rPr>
        <w:t xml:space="preserve"> phê chuẩn bộ máy làm việc của Viện kiểm sát nhân dân tối cao</w:t>
      </w:r>
      <w:r w:rsidR="00CD0ED6" w:rsidRPr="005B64BC">
        <w:rPr>
          <w:rFonts w:ascii="Times New Roman" w:eastAsia="Times New Roman" w:hAnsi="Times New Roman" w:cs="Times New Roman"/>
          <w:color w:val="000000"/>
          <w:sz w:val="28"/>
          <w:szCs w:val="28"/>
          <w:lang w:val="fr-FR"/>
        </w:rPr>
        <w:t>. Thường trực Ủy ban Tư pháp kính trình Ủy ban Thường vụ Qu</w:t>
      </w:r>
      <w:r w:rsidR="000B1276" w:rsidRPr="005B64BC">
        <w:rPr>
          <w:rFonts w:ascii="Times New Roman" w:eastAsia="Times New Roman" w:hAnsi="Times New Roman" w:cs="Times New Roman"/>
          <w:color w:val="000000"/>
          <w:sz w:val="28"/>
          <w:szCs w:val="28"/>
          <w:lang w:val="fr-FR"/>
        </w:rPr>
        <w:t>ố</w:t>
      </w:r>
      <w:r w:rsidR="00CD0ED6" w:rsidRPr="005B64BC">
        <w:rPr>
          <w:rFonts w:ascii="Times New Roman" w:eastAsia="Times New Roman" w:hAnsi="Times New Roman" w:cs="Times New Roman"/>
          <w:color w:val="000000"/>
          <w:sz w:val="28"/>
          <w:szCs w:val="28"/>
          <w:lang w:val="fr-FR"/>
        </w:rPr>
        <w:t>c hội xem xét, quyết định (kèm theo dự thảo Nghị quyết của Ủy ban Thường vụ Quốc hội).</w:t>
      </w:r>
      <w:r w:rsidR="00D015F4" w:rsidRPr="005B64BC">
        <w:rPr>
          <w:rFonts w:ascii="Times New Roman" w:eastAsia="Times New Roman" w:hAnsi="Times New Roman" w:cs="Times New Roman"/>
          <w:color w:val="000000"/>
          <w:sz w:val="28"/>
          <w:szCs w:val="28"/>
          <w:lang w:val="fr-FR"/>
        </w:rPr>
        <w:t>/.</w:t>
      </w:r>
    </w:p>
    <w:p w14:paraId="5DB68825" w14:textId="20F5ACB9" w:rsidR="00D17715" w:rsidRPr="005B64BC" w:rsidRDefault="005820C5" w:rsidP="004264CA">
      <w:pPr>
        <w:widowControl w:val="0"/>
        <w:spacing w:before="60" w:after="60" w:line="360" w:lineRule="exact"/>
        <w:ind w:firstLine="720"/>
        <w:jc w:val="both"/>
        <w:rPr>
          <w:rFonts w:ascii="Times New Roman" w:hAnsi="Times New Roman" w:cs="Times New Roman"/>
          <w:b/>
          <w:sz w:val="26"/>
          <w:szCs w:val="26"/>
        </w:rPr>
      </w:pPr>
      <w:r w:rsidRPr="005B64BC">
        <w:rPr>
          <w:rFonts w:ascii="Times New Roman" w:hAnsi="Times New Roman" w:cs="Times New Roman"/>
          <w:sz w:val="28"/>
          <w:szCs w:val="28"/>
        </w:rPr>
        <w:t xml:space="preserve"> </w:t>
      </w:r>
      <w:r w:rsidR="00E44E7D" w:rsidRPr="005B64BC">
        <w:rPr>
          <w:rFonts w:ascii="Times New Roman" w:hAnsi="Times New Roman" w:cs="Times New Roman"/>
          <w:sz w:val="28"/>
          <w:szCs w:val="28"/>
        </w:rPr>
        <w:tab/>
      </w:r>
      <w:r w:rsidR="00E44E7D" w:rsidRPr="005B64BC">
        <w:rPr>
          <w:rFonts w:ascii="Times New Roman" w:hAnsi="Times New Roman" w:cs="Times New Roman"/>
          <w:sz w:val="28"/>
          <w:szCs w:val="28"/>
        </w:rPr>
        <w:tab/>
      </w:r>
      <w:r w:rsidR="00E44E7D" w:rsidRPr="005B64BC">
        <w:rPr>
          <w:rFonts w:ascii="Times New Roman" w:hAnsi="Times New Roman" w:cs="Times New Roman"/>
          <w:sz w:val="28"/>
          <w:szCs w:val="28"/>
        </w:rPr>
        <w:tab/>
      </w:r>
      <w:r w:rsidR="00E44E7D" w:rsidRPr="005B64BC">
        <w:rPr>
          <w:rFonts w:ascii="Times New Roman" w:hAnsi="Times New Roman" w:cs="Times New Roman"/>
          <w:sz w:val="28"/>
          <w:szCs w:val="28"/>
        </w:rPr>
        <w:tab/>
      </w:r>
      <w:r w:rsidR="00E44E7D" w:rsidRPr="005B64BC">
        <w:rPr>
          <w:rFonts w:ascii="Times New Roman" w:hAnsi="Times New Roman" w:cs="Times New Roman"/>
          <w:sz w:val="28"/>
          <w:szCs w:val="28"/>
        </w:rPr>
        <w:tab/>
      </w:r>
      <w:r w:rsidR="00233D18" w:rsidRPr="005B64BC">
        <w:rPr>
          <w:rFonts w:ascii="Times New Roman" w:hAnsi="Times New Roman" w:cs="Times New Roman"/>
          <w:sz w:val="28"/>
          <w:szCs w:val="28"/>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20"/>
      </w:tblGrid>
      <w:tr w:rsidR="000B1276" w:rsidRPr="000B1276" w14:paraId="786EAC4E" w14:textId="77777777" w:rsidTr="0078517C">
        <w:trPr>
          <w:trHeight w:val="2534"/>
        </w:trPr>
        <w:tc>
          <w:tcPr>
            <w:tcW w:w="4608" w:type="dxa"/>
            <w:tcBorders>
              <w:top w:val="nil"/>
              <w:left w:val="nil"/>
              <w:bottom w:val="nil"/>
              <w:right w:val="nil"/>
            </w:tcBorders>
            <w:shd w:val="clear" w:color="auto" w:fill="auto"/>
          </w:tcPr>
          <w:p w14:paraId="7A3E706B" w14:textId="77777777" w:rsidR="000B1276" w:rsidRPr="005B64BC" w:rsidRDefault="000B1276" w:rsidP="0078517C">
            <w:pPr>
              <w:widowControl w:val="0"/>
              <w:spacing w:after="0" w:line="240" w:lineRule="exact"/>
              <w:jc w:val="both"/>
              <w:rPr>
                <w:rFonts w:ascii="Times New Roman" w:hAnsi="Times New Roman" w:cs="Times New Roman"/>
                <w:b/>
                <w:bCs/>
                <w:i/>
                <w:sz w:val="24"/>
                <w:szCs w:val="24"/>
              </w:rPr>
            </w:pPr>
            <w:r w:rsidRPr="005B64BC">
              <w:rPr>
                <w:rFonts w:ascii="Times New Roman" w:hAnsi="Times New Roman" w:cs="Times New Roman"/>
                <w:b/>
                <w:bCs/>
                <w:i/>
                <w:sz w:val="24"/>
                <w:szCs w:val="24"/>
              </w:rPr>
              <w:t>Nơi nhận:</w:t>
            </w:r>
          </w:p>
          <w:p w14:paraId="486BB793" w14:textId="77777777" w:rsidR="000B1276" w:rsidRPr="005B64BC" w:rsidRDefault="000B1276" w:rsidP="0078517C">
            <w:pPr>
              <w:widowControl w:val="0"/>
              <w:spacing w:after="0" w:line="240" w:lineRule="exact"/>
              <w:rPr>
                <w:rFonts w:ascii="Times New Roman" w:hAnsi="Times New Roman" w:cs="Times New Roman"/>
                <w:iCs/>
              </w:rPr>
            </w:pPr>
            <w:r w:rsidRPr="005B64BC">
              <w:rPr>
                <w:rFonts w:ascii="Times New Roman" w:hAnsi="Times New Roman" w:cs="Times New Roman"/>
                <w:iCs/>
              </w:rPr>
              <w:t>- Như trên;</w:t>
            </w:r>
          </w:p>
          <w:p w14:paraId="676E623C" w14:textId="507DF9E3" w:rsidR="000B1276" w:rsidRPr="005B64BC" w:rsidRDefault="000B1276" w:rsidP="0078517C">
            <w:pPr>
              <w:widowControl w:val="0"/>
              <w:spacing w:after="0" w:line="240" w:lineRule="exact"/>
              <w:rPr>
                <w:rFonts w:ascii="Times New Roman" w:hAnsi="Times New Roman" w:cs="Times New Roman"/>
                <w:iCs/>
              </w:rPr>
            </w:pPr>
            <w:r w:rsidRPr="005B64BC">
              <w:rPr>
                <w:rFonts w:ascii="Times New Roman" w:hAnsi="Times New Roman" w:cs="Times New Roman"/>
                <w:iCs/>
              </w:rPr>
              <w:t>- VKSNDTC;</w:t>
            </w:r>
          </w:p>
          <w:p w14:paraId="10BB7DDA" w14:textId="77777777" w:rsidR="000B1276" w:rsidRPr="005B64BC" w:rsidRDefault="000B1276" w:rsidP="0078517C">
            <w:pPr>
              <w:widowControl w:val="0"/>
              <w:spacing w:after="0" w:line="240" w:lineRule="exact"/>
              <w:rPr>
                <w:rFonts w:ascii="Times New Roman" w:hAnsi="Times New Roman" w:cs="Times New Roman"/>
              </w:rPr>
            </w:pPr>
            <w:r w:rsidRPr="005B64BC">
              <w:rPr>
                <w:rFonts w:ascii="Times New Roman" w:hAnsi="Times New Roman" w:cs="Times New Roman"/>
              </w:rPr>
              <w:t>- Lưu: HC, TP.</w:t>
            </w:r>
          </w:p>
          <w:p w14:paraId="03D7D6D0" w14:textId="35FD3AFC" w:rsidR="000B1276" w:rsidRPr="005B64BC" w:rsidRDefault="002C4785" w:rsidP="0078517C">
            <w:pPr>
              <w:widowControl w:val="0"/>
              <w:spacing w:after="0" w:line="240" w:lineRule="exact"/>
              <w:rPr>
                <w:rFonts w:ascii="Times New Roman" w:hAnsi="Times New Roman" w:cs="Times New Roman"/>
                <w:i/>
                <w:iCs/>
              </w:rPr>
            </w:pPr>
            <w:r w:rsidRPr="005B64BC">
              <w:rPr>
                <w:rFonts w:ascii="Times New Roman" w:hAnsi="Times New Roman" w:cs="Times New Roman"/>
              </w:rPr>
              <w:t xml:space="preserve">  </w:t>
            </w:r>
            <w:r w:rsidR="00492E37">
              <w:rPr>
                <w:rFonts w:ascii="Times New Roman" w:hAnsi="Times New Roman" w:cs="Times New Roman"/>
              </w:rPr>
              <w:t>ID</w:t>
            </w:r>
            <w:r w:rsidRPr="005B64BC">
              <w:rPr>
                <w:rFonts w:ascii="Times New Roman" w:hAnsi="Times New Roman" w:cs="Times New Roman"/>
              </w:rPr>
              <w:t>:</w:t>
            </w:r>
            <w:r w:rsidR="002618A9">
              <w:rPr>
                <w:rFonts w:ascii="Times New Roman" w:hAnsi="Times New Roman" w:cs="Times New Roman"/>
              </w:rPr>
              <w:t xml:space="preserve"> 1109747</w:t>
            </w:r>
            <w:r w:rsidRPr="005B64BC">
              <w:rPr>
                <w:rFonts w:ascii="Times New Roman" w:hAnsi="Times New Roman" w:cs="Times New Roman"/>
              </w:rPr>
              <w:t xml:space="preserve"> </w:t>
            </w:r>
            <w:r w:rsidR="000B1276" w:rsidRPr="005B64BC">
              <w:rPr>
                <w:rFonts w:ascii="Times New Roman" w:hAnsi="Times New Roman" w:cs="Times New Roman"/>
              </w:rPr>
              <w:t xml:space="preserve">   </w:t>
            </w:r>
          </w:p>
          <w:p w14:paraId="0A588909" w14:textId="77777777" w:rsidR="000B1276" w:rsidRPr="005B64BC" w:rsidRDefault="000B1276" w:rsidP="0078517C">
            <w:pPr>
              <w:widowControl w:val="0"/>
              <w:spacing w:after="0" w:line="340" w:lineRule="exact"/>
              <w:rPr>
                <w:rFonts w:ascii="Times New Roman" w:hAnsi="Times New Roman" w:cs="Times New Roman"/>
              </w:rPr>
            </w:pPr>
          </w:p>
        </w:tc>
        <w:tc>
          <w:tcPr>
            <w:tcW w:w="5220" w:type="dxa"/>
            <w:tcBorders>
              <w:top w:val="nil"/>
              <w:left w:val="nil"/>
              <w:bottom w:val="nil"/>
              <w:right w:val="nil"/>
            </w:tcBorders>
            <w:shd w:val="clear" w:color="auto" w:fill="auto"/>
          </w:tcPr>
          <w:p w14:paraId="018DDCD7" w14:textId="77777777" w:rsidR="000B1276" w:rsidRPr="005B64BC" w:rsidRDefault="000B1276" w:rsidP="0078517C">
            <w:pPr>
              <w:widowControl w:val="0"/>
              <w:spacing w:after="0" w:line="340" w:lineRule="exact"/>
              <w:ind w:right="-108"/>
              <w:jc w:val="center"/>
              <w:rPr>
                <w:rFonts w:ascii="Times New Roman" w:hAnsi="Times New Roman" w:cs="Times New Roman"/>
                <w:b/>
                <w:bCs/>
                <w:sz w:val="26"/>
                <w:szCs w:val="26"/>
              </w:rPr>
            </w:pPr>
            <w:r w:rsidRPr="005B64BC">
              <w:rPr>
                <w:rFonts w:ascii="Times New Roman" w:hAnsi="Times New Roman" w:cs="Times New Roman"/>
                <w:b/>
                <w:bCs/>
                <w:sz w:val="26"/>
                <w:szCs w:val="26"/>
              </w:rPr>
              <w:t>TM. ỦY BAN TƯ PHÁP</w:t>
            </w:r>
          </w:p>
          <w:p w14:paraId="3B3E76A9" w14:textId="49C45B8D" w:rsidR="000B1276" w:rsidRPr="005B64BC" w:rsidRDefault="000B1276" w:rsidP="00C944AE">
            <w:pPr>
              <w:widowControl w:val="0"/>
              <w:spacing w:after="0" w:line="340" w:lineRule="exact"/>
              <w:ind w:right="-108"/>
              <w:jc w:val="center"/>
              <w:rPr>
                <w:rFonts w:ascii="Times New Roman" w:hAnsi="Times New Roman" w:cs="Times New Roman"/>
                <w:b/>
                <w:bCs/>
              </w:rPr>
            </w:pPr>
            <w:r w:rsidRPr="005B64BC">
              <w:rPr>
                <w:rFonts w:ascii="Times New Roman" w:hAnsi="Times New Roman" w:cs="Times New Roman"/>
                <w:b/>
                <w:bCs/>
                <w:sz w:val="26"/>
                <w:szCs w:val="26"/>
              </w:rPr>
              <w:t xml:space="preserve">  CHỦ NHIỆM</w:t>
            </w:r>
          </w:p>
          <w:p w14:paraId="45B55E41" w14:textId="244E7EAB" w:rsidR="000B1276" w:rsidRDefault="000B1276" w:rsidP="002618A9">
            <w:pPr>
              <w:widowControl w:val="0"/>
              <w:spacing w:after="0" w:line="340" w:lineRule="exact"/>
              <w:ind w:right="-108"/>
              <w:rPr>
                <w:rFonts w:ascii="Times New Roman" w:hAnsi="Times New Roman" w:cs="Times New Roman"/>
                <w:i/>
                <w:iCs/>
                <w:sz w:val="24"/>
                <w:szCs w:val="24"/>
              </w:rPr>
            </w:pPr>
          </w:p>
          <w:p w14:paraId="4C6240BF" w14:textId="39C7B61A" w:rsidR="002618A9" w:rsidRDefault="00FB5F03" w:rsidP="0078517C">
            <w:pPr>
              <w:widowControl w:val="0"/>
              <w:spacing w:after="0" w:line="340" w:lineRule="exact"/>
              <w:ind w:right="-108"/>
              <w:jc w:val="center"/>
              <w:rPr>
                <w:rFonts w:ascii="Times New Roman" w:hAnsi="Times New Roman" w:cs="Times New Roman"/>
                <w:i/>
                <w:iCs/>
                <w:sz w:val="24"/>
                <w:szCs w:val="24"/>
              </w:rPr>
            </w:pPr>
            <w:r>
              <w:rPr>
                <w:rFonts w:ascii="Times New Roman" w:hAnsi="Times New Roman" w:cs="Times New Roman"/>
                <w:i/>
                <w:iCs/>
                <w:sz w:val="24"/>
                <w:szCs w:val="24"/>
              </w:rPr>
              <w:t>(đã ký)</w:t>
            </w:r>
          </w:p>
          <w:p w14:paraId="4ADE2425" w14:textId="705ABDF2" w:rsidR="00C944AE" w:rsidRDefault="00C944AE" w:rsidP="00C944AE">
            <w:pPr>
              <w:widowControl w:val="0"/>
              <w:spacing w:after="0" w:line="340" w:lineRule="exact"/>
              <w:ind w:right="-108"/>
              <w:rPr>
                <w:rFonts w:ascii="Times New Roman" w:hAnsi="Times New Roman" w:cs="Times New Roman"/>
                <w:b/>
                <w:bCs/>
              </w:rPr>
            </w:pPr>
          </w:p>
          <w:p w14:paraId="6435CF98" w14:textId="77777777" w:rsidR="002618A9" w:rsidRPr="005B64BC" w:rsidRDefault="002618A9" w:rsidP="00C944AE">
            <w:pPr>
              <w:widowControl w:val="0"/>
              <w:spacing w:after="0" w:line="340" w:lineRule="exact"/>
              <w:ind w:right="-108"/>
              <w:rPr>
                <w:rFonts w:ascii="Times New Roman" w:hAnsi="Times New Roman" w:cs="Times New Roman"/>
                <w:b/>
                <w:bCs/>
              </w:rPr>
            </w:pPr>
          </w:p>
          <w:p w14:paraId="0FFD0327" w14:textId="77777777" w:rsidR="000B1276" w:rsidRPr="000B1276" w:rsidRDefault="000B1276" w:rsidP="0078517C">
            <w:pPr>
              <w:widowControl w:val="0"/>
              <w:spacing w:after="0" w:line="340" w:lineRule="exact"/>
              <w:ind w:right="-108"/>
              <w:jc w:val="center"/>
              <w:rPr>
                <w:rFonts w:ascii="Times New Roman" w:hAnsi="Times New Roman" w:cs="Times New Roman"/>
                <w:b/>
                <w:bCs/>
                <w:sz w:val="28"/>
                <w:szCs w:val="28"/>
              </w:rPr>
            </w:pPr>
            <w:r w:rsidRPr="005B64BC">
              <w:rPr>
                <w:rFonts w:ascii="Times New Roman" w:hAnsi="Times New Roman" w:cs="Times New Roman"/>
                <w:b/>
                <w:bCs/>
                <w:sz w:val="28"/>
                <w:szCs w:val="28"/>
              </w:rPr>
              <w:t>Lê Thị Nga</w:t>
            </w:r>
          </w:p>
        </w:tc>
      </w:tr>
    </w:tbl>
    <w:p w14:paraId="3AA7035E" w14:textId="600B546B" w:rsidR="003528BD" w:rsidRDefault="003528BD" w:rsidP="00FF4879">
      <w:pPr>
        <w:widowControl w:val="0"/>
        <w:spacing w:after="0" w:line="240" w:lineRule="auto"/>
        <w:rPr>
          <w:rFonts w:ascii="Times New Roman" w:hAnsi="Times New Roman" w:cs="Times New Roman"/>
          <w:b/>
          <w:sz w:val="26"/>
          <w:szCs w:val="26"/>
        </w:rPr>
      </w:pPr>
    </w:p>
    <w:sectPr w:rsidR="003528BD" w:rsidSect="004264CA">
      <w:footerReference w:type="default" r:id="rId8"/>
      <w:pgSz w:w="11906" w:h="16838" w:code="9"/>
      <w:pgMar w:top="1134" w:right="992" w:bottom="102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1563" w14:textId="77777777" w:rsidR="00CD0D39" w:rsidRDefault="00CD0D39" w:rsidP="00E76B2D">
      <w:pPr>
        <w:spacing w:after="0" w:line="240" w:lineRule="auto"/>
      </w:pPr>
      <w:r>
        <w:separator/>
      </w:r>
    </w:p>
  </w:endnote>
  <w:endnote w:type="continuationSeparator" w:id="0">
    <w:p w14:paraId="20F64201" w14:textId="77777777" w:rsidR="00CD0D39" w:rsidRDefault="00CD0D39" w:rsidP="00E7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Italic">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96677"/>
      <w:docPartObj>
        <w:docPartGallery w:val="Page Numbers (Bottom of Page)"/>
        <w:docPartUnique/>
      </w:docPartObj>
    </w:sdtPr>
    <w:sdtEndPr>
      <w:rPr>
        <w:noProof/>
      </w:rPr>
    </w:sdtEndPr>
    <w:sdtContent>
      <w:p w14:paraId="5E23EF5B" w14:textId="26418C52" w:rsidR="00F229B7" w:rsidRDefault="00F229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73248" w14:textId="77777777" w:rsidR="00F229B7" w:rsidRDefault="00F2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982A" w14:textId="77777777" w:rsidR="00CD0D39" w:rsidRDefault="00CD0D39" w:rsidP="00E76B2D">
      <w:pPr>
        <w:spacing w:after="0" w:line="240" w:lineRule="auto"/>
      </w:pPr>
      <w:r>
        <w:separator/>
      </w:r>
    </w:p>
  </w:footnote>
  <w:footnote w:type="continuationSeparator" w:id="0">
    <w:p w14:paraId="5111D1E2" w14:textId="77777777" w:rsidR="00CD0D39" w:rsidRDefault="00CD0D39" w:rsidP="00E76B2D">
      <w:pPr>
        <w:spacing w:after="0" w:line="240" w:lineRule="auto"/>
      </w:pPr>
      <w:r>
        <w:continuationSeparator/>
      </w:r>
    </w:p>
  </w:footnote>
  <w:footnote w:id="1">
    <w:p w14:paraId="09B2F2CA" w14:textId="77777777" w:rsidR="00DC3034" w:rsidRDefault="00DC3034" w:rsidP="00DC3034">
      <w:pPr>
        <w:pStyle w:val="FootnoteText"/>
        <w:ind w:firstLine="567"/>
        <w:jc w:val="both"/>
        <w:rPr>
          <w:rFonts w:ascii="Times New Roman" w:hAnsi="Times New Roman" w:cs="Times New Roman"/>
          <w:sz w:val="22"/>
          <w:szCs w:val="22"/>
        </w:rPr>
      </w:pPr>
      <w:r w:rsidRPr="00A13037">
        <w:rPr>
          <w:rStyle w:val="FootnoteReference"/>
          <w:rFonts w:ascii="Times New Roman" w:hAnsi="Times New Roman" w:cs="Times New Roman"/>
          <w:b/>
          <w:bCs/>
          <w:sz w:val="22"/>
          <w:szCs w:val="22"/>
        </w:rPr>
        <w:footnoteRef/>
      </w:r>
      <w:r w:rsidRPr="00A13037">
        <w:rPr>
          <w:rFonts w:ascii="Times New Roman" w:hAnsi="Times New Roman" w:cs="Times New Roman"/>
          <w:b/>
          <w:bCs/>
          <w:sz w:val="22"/>
          <w:szCs w:val="22"/>
        </w:rPr>
        <w:t xml:space="preserve"> </w:t>
      </w:r>
      <w:r w:rsidRPr="00DC1FFC">
        <w:rPr>
          <w:rFonts w:ascii="Times New Roman" w:hAnsi="Times New Roman" w:cs="Times New Roman"/>
          <w:sz w:val="22"/>
          <w:szCs w:val="22"/>
        </w:rPr>
        <w:t xml:space="preserve">Khoản 3 Điều 63 về Nhiệm vụ, quyền hạn của Viện trưởng Viện kiểm sát nhân dân tối cao: </w:t>
      </w:r>
    </w:p>
    <w:p w14:paraId="3118F79D" w14:textId="77777777" w:rsidR="00DC3034" w:rsidRPr="00DC1FFC" w:rsidRDefault="00DC3034" w:rsidP="00DC3034">
      <w:pPr>
        <w:pStyle w:val="FootnoteText"/>
        <w:ind w:firstLine="567"/>
        <w:jc w:val="both"/>
        <w:rPr>
          <w:rFonts w:ascii="Times New Roman" w:hAnsi="Times New Roman" w:cs="Times New Roman"/>
          <w:b/>
          <w:bCs/>
          <w:i/>
          <w:iCs/>
          <w:sz w:val="22"/>
          <w:szCs w:val="22"/>
        </w:rPr>
      </w:pPr>
      <w:r w:rsidRPr="00DC1FFC">
        <w:rPr>
          <w:rFonts w:ascii="Times New Roman" w:hAnsi="Times New Roman" w:cs="Times New Roman"/>
          <w:i/>
          <w:iCs/>
          <w:sz w:val="22"/>
          <w:szCs w:val="22"/>
        </w:rPr>
        <w:t>"3. Quy định bộ máy làm việc của Viện kiểm sát nhân dân tối cao và trình Ủy ban thường vụ Quốc hội phê chuẩn; quyết định bộ máy làm việc của Viện kiểm sát nhân dân cấp dưới; quy định bộ máy làm việc của Viện kiểm sát quân sự sau khi thống nhất với Bộ trưởng Bộ Quốc phòng, trình Ủy ban thường vụ Quốc hội phê chuẩn".</w:t>
      </w:r>
    </w:p>
  </w:footnote>
  <w:footnote w:id="2">
    <w:p w14:paraId="25E01FC6" w14:textId="77777777" w:rsidR="00DC3034" w:rsidRPr="000E4FFA" w:rsidRDefault="00DC3034" w:rsidP="00DC3034">
      <w:pPr>
        <w:pStyle w:val="FootnoteText"/>
        <w:ind w:firstLine="567"/>
        <w:jc w:val="both"/>
        <w:rPr>
          <w:rFonts w:ascii="Times New Roman" w:hAnsi="Times New Roman" w:cs="Times New Roman"/>
          <w:sz w:val="22"/>
          <w:szCs w:val="22"/>
        </w:rPr>
      </w:pPr>
      <w:r w:rsidRPr="00FF0DB1">
        <w:rPr>
          <w:rStyle w:val="FootnoteReference"/>
          <w:rFonts w:ascii="Times New Roman" w:hAnsi="Times New Roman" w:cs="Times New Roman"/>
          <w:b/>
          <w:bCs/>
          <w:sz w:val="22"/>
          <w:szCs w:val="22"/>
        </w:rPr>
        <w:footnoteRef/>
      </w:r>
      <w:r w:rsidRPr="000E4FFA">
        <w:rPr>
          <w:rFonts w:ascii="Times New Roman" w:hAnsi="Times New Roman" w:cs="Times New Roman"/>
          <w:sz w:val="22"/>
          <w:szCs w:val="22"/>
        </w:rPr>
        <w:t xml:space="preserve"> </w:t>
      </w:r>
      <w:r>
        <w:rPr>
          <w:rFonts w:ascii="Times New Roman" w:hAnsi="Times New Roman" w:cs="Times New Roman"/>
          <w:sz w:val="22"/>
          <w:szCs w:val="22"/>
        </w:rPr>
        <w:t>Công văn số 13061-CV/VPTW ngày 12 tháng 01 năm 2025 của Văn phòng Trung ương Đảng.</w:t>
      </w:r>
    </w:p>
  </w:footnote>
  <w:footnote w:id="3">
    <w:p w14:paraId="4D3B7EA7" w14:textId="7D3C0C00" w:rsidR="00BC7273" w:rsidRPr="004864F0" w:rsidRDefault="00BC7273" w:rsidP="00E61D82">
      <w:pPr>
        <w:pStyle w:val="FootnoteText"/>
        <w:ind w:firstLine="567"/>
        <w:jc w:val="both"/>
        <w:rPr>
          <w:rFonts w:ascii="Times New Roman" w:hAnsi="Times New Roman" w:cs="Times New Roman"/>
          <w:b/>
          <w:sz w:val="22"/>
          <w:szCs w:val="22"/>
          <w:lang w:val="en-US"/>
        </w:rPr>
      </w:pPr>
      <w:r w:rsidRPr="00BC7273">
        <w:rPr>
          <w:rStyle w:val="FootnoteReference"/>
          <w:rFonts w:ascii="Times New Roman" w:hAnsi="Times New Roman" w:cs="Times New Roman"/>
          <w:b/>
          <w:sz w:val="22"/>
          <w:szCs w:val="22"/>
        </w:rPr>
        <w:footnoteRef/>
      </w:r>
      <w:r w:rsidRPr="00BC7273">
        <w:rPr>
          <w:rFonts w:ascii="Times New Roman" w:hAnsi="Times New Roman" w:cs="Times New Roman"/>
          <w:b/>
          <w:sz w:val="22"/>
          <w:szCs w:val="22"/>
        </w:rPr>
        <w:t xml:space="preserve"> </w:t>
      </w:r>
      <w:r w:rsidRPr="00E61D82">
        <w:rPr>
          <w:rFonts w:ascii="Times New Roman" w:hAnsi="Times New Roman" w:cs="Times New Roman"/>
          <w:sz w:val="22"/>
          <w:szCs w:val="22"/>
        </w:rPr>
        <w:t>Kết luận của UBTVQH tại phiên họp thứ 39 về các Nghị quyết của UBTVQH để triển khai thi hành Luật Tổ chứ</w:t>
      </w:r>
      <w:r w:rsidR="00E61D82">
        <w:rPr>
          <w:rFonts w:ascii="Times New Roman" w:hAnsi="Times New Roman" w:cs="Times New Roman"/>
          <w:sz w:val="22"/>
          <w:szCs w:val="22"/>
        </w:rPr>
        <w:t>c</w:t>
      </w:r>
      <w:r w:rsidRPr="00E61D82">
        <w:rPr>
          <w:rFonts w:ascii="Times New Roman" w:hAnsi="Times New Roman" w:cs="Times New Roman"/>
          <w:sz w:val="22"/>
          <w:szCs w:val="22"/>
        </w:rPr>
        <w:t xml:space="preserve"> TAND năm 20</w:t>
      </w:r>
      <w:r w:rsidR="00E61D82">
        <w:rPr>
          <w:rFonts w:ascii="Times New Roman" w:hAnsi="Times New Roman" w:cs="Times New Roman"/>
          <w:sz w:val="22"/>
          <w:szCs w:val="22"/>
        </w:rPr>
        <w:t>2</w:t>
      </w:r>
      <w:r w:rsidRPr="00E61D82">
        <w:rPr>
          <w:rFonts w:ascii="Times New Roman" w:hAnsi="Times New Roman" w:cs="Times New Roman"/>
          <w:sz w:val="22"/>
          <w:szCs w:val="22"/>
        </w:rPr>
        <w:t xml:space="preserve">4: </w:t>
      </w:r>
      <w:r w:rsidR="00E61D82" w:rsidRPr="00E61D82">
        <w:rPr>
          <w:rFonts w:ascii="Times New Roman" w:hAnsi="Times New Roman" w:cs="Times New Roman"/>
          <w:sz w:val="22"/>
          <w:szCs w:val="22"/>
        </w:rPr>
        <w:t>“</w:t>
      </w:r>
      <w:r w:rsidR="00E61D82" w:rsidRPr="00E61D82">
        <w:rPr>
          <w:rFonts w:ascii="Times New Roman" w:hAnsi="Times New Roman" w:cs="Times New Roman"/>
          <w:i/>
          <w:sz w:val="22"/>
          <w:szCs w:val="22"/>
        </w:rPr>
        <w:t xml:space="preserve">chỉ quy định các nội dung thuộc thẩm quyền của UBTVQH do Luật Tổ </w:t>
      </w:r>
      <w:r w:rsidR="00E61D82" w:rsidRPr="004864F0">
        <w:rPr>
          <w:rFonts w:ascii="Times New Roman" w:hAnsi="Times New Roman" w:cs="Times New Roman"/>
          <w:i/>
          <w:sz w:val="22"/>
          <w:szCs w:val="22"/>
        </w:rPr>
        <w:t>chức Tòa án nhân dân năm 2024 giao; nội dung không được Luật giao thì không quy định trong dự thảo Nghị quyết</w:t>
      </w:r>
      <w:r w:rsidR="00E61D82" w:rsidRPr="004864F0">
        <w:rPr>
          <w:rFonts w:ascii="Times New Roman" w:hAnsi="Times New Roman" w:cs="Times New Roman"/>
          <w:sz w:val="22"/>
          <w:szCs w:val="22"/>
        </w:rPr>
        <w:t>” (</w:t>
      </w:r>
      <w:r w:rsidRPr="004864F0">
        <w:rPr>
          <w:rFonts w:ascii="Times New Roman" w:hAnsi="Times New Roman" w:cs="Times New Roman"/>
          <w:sz w:val="22"/>
          <w:szCs w:val="22"/>
        </w:rPr>
        <w:t>Thông báo số 4695/TB-TTKQH ngày 20/11/2024</w:t>
      </w:r>
      <w:r w:rsidR="00E61D82" w:rsidRPr="004864F0">
        <w:rPr>
          <w:rFonts w:ascii="Times New Roman" w:hAnsi="Times New Roman" w:cs="Times New Roman"/>
          <w:sz w:val="22"/>
          <w:szCs w:val="22"/>
        </w:rPr>
        <w:t>).</w:t>
      </w:r>
    </w:p>
  </w:footnote>
  <w:footnote w:id="4">
    <w:p w14:paraId="285F5F99" w14:textId="306D817C" w:rsidR="004864F0" w:rsidRPr="00234094" w:rsidRDefault="004864F0" w:rsidP="004864F0">
      <w:pPr>
        <w:pStyle w:val="FootnoteText"/>
        <w:ind w:firstLine="567"/>
        <w:rPr>
          <w:sz w:val="22"/>
          <w:szCs w:val="22"/>
        </w:rPr>
      </w:pPr>
      <w:r w:rsidRPr="00234094">
        <w:rPr>
          <w:rStyle w:val="FootnoteReference"/>
          <w:rFonts w:ascii="Times New Roman" w:hAnsi="Times New Roman" w:cs="Times New Roman"/>
          <w:b/>
          <w:bCs/>
          <w:sz w:val="22"/>
          <w:szCs w:val="22"/>
        </w:rPr>
        <w:footnoteRef/>
      </w:r>
      <w:r w:rsidRPr="00234094">
        <w:rPr>
          <w:rFonts w:ascii="Times New Roman" w:hAnsi="Times New Roman" w:cs="Times New Roman"/>
          <w:b/>
          <w:bCs/>
          <w:sz w:val="22"/>
          <w:szCs w:val="22"/>
        </w:rPr>
        <w:t xml:space="preserve"> </w:t>
      </w:r>
      <w:r w:rsidRPr="00234094">
        <w:rPr>
          <w:rFonts w:ascii="Times New Roman" w:hAnsi="Times New Roman" w:cs="Times New Roman"/>
          <w:sz w:val="22"/>
          <w:szCs w:val="22"/>
        </w:rPr>
        <w:t>Nghị quyết số 57/2024/UBTVQH15 ngày 15/11/2024 của Ủy ban Thường vụ Quốc hội.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133"/>
    <w:multiLevelType w:val="hybridMultilevel"/>
    <w:tmpl w:val="537A0550"/>
    <w:lvl w:ilvl="0" w:tplc="97AADD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65060B0"/>
    <w:multiLevelType w:val="hybridMultilevel"/>
    <w:tmpl w:val="B0A06C4A"/>
    <w:lvl w:ilvl="0" w:tplc="7D28C3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C3"/>
    <w:rsid w:val="00013D95"/>
    <w:rsid w:val="000206EA"/>
    <w:rsid w:val="00020975"/>
    <w:rsid w:val="00024200"/>
    <w:rsid w:val="00034FDD"/>
    <w:rsid w:val="0003548E"/>
    <w:rsid w:val="00043C57"/>
    <w:rsid w:val="00044B49"/>
    <w:rsid w:val="00046500"/>
    <w:rsid w:val="000807FC"/>
    <w:rsid w:val="000867C6"/>
    <w:rsid w:val="000917C4"/>
    <w:rsid w:val="000A26E4"/>
    <w:rsid w:val="000A52A1"/>
    <w:rsid w:val="000A5732"/>
    <w:rsid w:val="000B1276"/>
    <w:rsid w:val="000B7B87"/>
    <w:rsid w:val="000C0CD2"/>
    <w:rsid w:val="000C38CB"/>
    <w:rsid w:val="000C580E"/>
    <w:rsid w:val="000D1943"/>
    <w:rsid w:val="000E0031"/>
    <w:rsid w:val="000E0E81"/>
    <w:rsid w:val="000E4C2E"/>
    <w:rsid w:val="000E6023"/>
    <w:rsid w:val="000F3D93"/>
    <w:rsid w:val="00101EE4"/>
    <w:rsid w:val="00102D6A"/>
    <w:rsid w:val="0012472E"/>
    <w:rsid w:val="00124ABE"/>
    <w:rsid w:val="001529D4"/>
    <w:rsid w:val="00153364"/>
    <w:rsid w:val="00166B0C"/>
    <w:rsid w:val="00172FD5"/>
    <w:rsid w:val="001811E4"/>
    <w:rsid w:val="00185A17"/>
    <w:rsid w:val="001867C5"/>
    <w:rsid w:val="0019573F"/>
    <w:rsid w:val="00195766"/>
    <w:rsid w:val="001B2B03"/>
    <w:rsid w:val="001C009C"/>
    <w:rsid w:val="001D7508"/>
    <w:rsid w:val="001E11C1"/>
    <w:rsid w:val="001E2DFB"/>
    <w:rsid w:val="001E37D9"/>
    <w:rsid w:val="001E50FE"/>
    <w:rsid w:val="001F1550"/>
    <w:rsid w:val="001F3EEE"/>
    <w:rsid w:val="0021281C"/>
    <w:rsid w:val="00212D6D"/>
    <w:rsid w:val="00213F33"/>
    <w:rsid w:val="0021481E"/>
    <w:rsid w:val="00233D18"/>
    <w:rsid w:val="00234094"/>
    <w:rsid w:val="00251F49"/>
    <w:rsid w:val="00256E84"/>
    <w:rsid w:val="002618A9"/>
    <w:rsid w:val="00264615"/>
    <w:rsid w:val="002662AE"/>
    <w:rsid w:val="002817BB"/>
    <w:rsid w:val="00283C4D"/>
    <w:rsid w:val="00290E5C"/>
    <w:rsid w:val="0029100D"/>
    <w:rsid w:val="002929BA"/>
    <w:rsid w:val="00294EFD"/>
    <w:rsid w:val="00295133"/>
    <w:rsid w:val="00296169"/>
    <w:rsid w:val="00296C93"/>
    <w:rsid w:val="002A3BAC"/>
    <w:rsid w:val="002A58B2"/>
    <w:rsid w:val="002B2D1A"/>
    <w:rsid w:val="002C06C6"/>
    <w:rsid w:val="002C356E"/>
    <w:rsid w:val="002C42D0"/>
    <w:rsid w:val="002C4785"/>
    <w:rsid w:val="002D3FCC"/>
    <w:rsid w:val="002D5C09"/>
    <w:rsid w:val="002E3D4D"/>
    <w:rsid w:val="002F2A1F"/>
    <w:rsid w:val="002F535F"/>
    <w:rsid w:val="003073E8"/>
    <w:rsid w:val="00315D42"/>
    <w:rsid w:val="003202DA"/>
    <w:rsid w:val="0033084A"/>
    <w:rsid w:val="00331D15"/>
    <w:rsid w:val="00331E6D"/>
    <w:rsid w:val="00337C30"/>
    <w:rsid w:val="003435DF"/>
    <w:rsid w:val="003528BD"/>
    <w:rsid w:val="0035368D"/>
    <w:rsid w:val="003548A0"/>
    <w:rsid w:val="00355CFF"/>
    <w:rsid w:val="00356912"/>
    <w:rsid w:val="0036009D"/>
    <w:rsid w:val="00373A26"/>
    <w:rsid w:val="00375416"/>
    <w:rsid w:val="00385E98"/>
    <w:rsid w:val="00393A2C"/>
    <w:rsid w:val="00397758"/>
    <w:rsid w:val="003A27C0"/>
    <w:rsid w:val="003A76AB"/>
    <w:rsid w:val="003B0CD6"/>
    <w:rsid w:val="003B44D0"/>
    <w:rsid w:val="003C3C76"/>
    <w:rsid w:val="003C4CA3"/>
    <w:rsid w:val="003C75EB"/>
    <w:rsid w:val="003D0EA8"/>
    <w:rsid w:val="003D3861"/>
    <w:rsid w:val="003D6C91"/>
    <w:rsid w:val="003E1501"/>
    <w:rsid w:val="003F012E"/>
    <w:rsid w:val="0040065D"/>
    <w:rsid w:val="00403537"/>
    <w:rsid w:val="00410224"/>
    <w:rsid w:val="00417470"/>
    <w:rsid w:val="004203EA"/>
    <w:rsid w:val="00421A89"/>
    <w:rsid w:val="004246D9"/>
    <w:rsid w:val="004258A8"/>
    <w:rsid w:val="004264CA"/>
    <w:rsid w:val="00435454"/>
    <w:rsid w:val="00435F8C"/>
    <w:rsid w:val="00444D12"/>
    <w:rsid w:val="004475B7"/>
    <w:rsid w:val="00453506"/>
    <w:rsid w:val="00456B5A"/>
    <w:rsid w:val="00466CE6"/>
    <w:rsid w:val="00475F69"/>
    <w:rsid w:val="00480D99"/>
    <w:rsid w:val="004864F0"/>
    <w:rsid w:val="00491589"/>
    <w:rsid w:val="00492E37"/>
    <w:rsid w:val="004A2786"/>
    <w:rsid w:val="004B0D3A"/>
    <w:rsid w:val="004B60D8"/>
    <w:rsid w:val="004C3824"/>
    <w:rsid w:val="004C5C7C"/>
    <w:rsid w:val="004D2F61"/>
    <w:rsid w:val="004E6A8E"/>
    <w:rsid w:val="004F16D1"/>
    <w:rsid w:val="004F3BEC"/>
    <w:rsid w:val="004F4305"/>
    <w:rsid w:val="004F54EB"/>
    <w:rsid w:val="00504126"/>
    <w:rsid w:val="005163B3"/>
    <w:rsid w:val="00516E73"/>
    <w:rsid w:val="00520890"/>
    <w:rsid w:val="005214B6"/>
    <w:rsid w:val="00531E7C"/>
    <w:rsid w:val="0054711B"/>
    <w:rsid w:val="00547F0C"/>
    <w:rsid w:val="00557195"/>
    <w:rsid w:val="0056427A"/>
    <w:rsid w:val="00565124"/>
    <w:rsid w:val="005655AC"/>
    <w:rsid w:val="00573C4A"/>
    <w:rsid w:val="00573F05"/>
    <w:rsid w:val="0057622D"/>
    <w:rsid w:val="00581B0F"/>
    <w:rsid w:val="005820C5"/>
    <w:rsid w:val="00582B65"/>
    <w:rsid w:val="00584E45"/>
    <w:rsid w:val="00590794"/>
    <w:rsid w:val="005922DF"/>
    <w:rsid w:val="005A6018"/>
    <w:rsid w:val="005B5067"/>
    <w:rsid w:val="005B59C7"/>
    <w:rsid w:val="005B64BC"/>
    <w:rsid w:val="005C0B83"/>
    <w:rsid w:val="005D30FE"/>
    <w:rsid w:val="005D4101"/>
    <w:rsid w:val="005D7B8A"/>
    <w:rsid w:val="005E4341"/>
    <w:rsid w:val="005F2431"/>
    <w:rsid w:val="005F5B97"/>
    <w:rsid w:val="00604214"/>
    <w:rsid w:val="00614DC7"/>
    <w:rsid w:val="00631062"/>
    <w:rsid w:val="006320EC"/>
    <w:rsid w:val="006324D3"/>
    <w:rsid w:val="006355D8"/>
    <w:rsid w:val="00635B20"/>
    <w:rsid w:val="00640FAD"/>
    <w:rsid w:val="006462BA"/>
    <w:rsid w:val="006609E9"/>
    <w:rsid w:val="0066645E"/>
    <w:rsid w:val="006672B6"/>
    <w:rsid w:val="006729E7"/>
    <w:rsid w:val="006760B3"/>
    <w:rsid w:val="00692B43"/>
    <w:rsid w:val="0069677A"/>
    <w:rsid w:val="006A120A"/>
    <w:rsid w:val="006A3971"/>
    <w:rsid w:val="006A71F3"/>
    <w:rsid w:val="006B242A"/>
    <w:rsid w:val="006C7176"/>
    <w:rsid w:val="006C7DC9"/>
    <w:rsid w:val="006D589A"/>
    <w:rsid w:val="006E0312"/>
    <w:rsid w:val="006E05A7"/>
    <w:rsid w:val="006E2C43"/>
    <w:rsid w:val="006E3B0C"/>
    <w:rsid w:val="006F1D27"/>
    <w:rsid w:val="006F67EA"/>
    <w:rsid w:val="00700163"/>
    <w:rsid w:val="0070230E"/>
    <w:rsid w:val="0071366C"/>
    <w:rsid w:val="00714D2D"/>
    <w:rsid w:val="00732FFA"/>
    <w:rsid w:val="00746096"/>
    <w:rsid w:val="00760EC3"/>
    <w:rsid w:val="00765B80"/>
    <w:rsid w:val="00776A68"/>
    <w:rsid w:val="007833C4"/>
    <w:rsid w:val="00792227"/>
    <w:rsid w:val="007A1916"/>
    <w:rsid w:val="007A28C5"/>
    <w:rsid w:val="007B2183"/>
    <w:rsid w:val="007C0353"/>
    <w:rsid w:val="007C321B"/>
    <w:rsid w:val="007E0975"/>
    <w:rsid w:val="007E1BF4"/>
    <w:rsid w:val="007E4879"/>
    <w:rsid w:val="007F352B"/>
    <w:rsid w:val="007F5278"/>
    <w:rsid w:val="007F6CF1"/>
    <w:rsid w:val="00800818"/>
    <w:rsid w:val="00802382"/>
    <w:rsid w:val="008034FE"/>
    <w:rsid w:val="0080508B"/>
    <w:rsid w:val="00807311"/>
    <w:rsid w:val="00817762"/>
    <w:rsid w:val="008215B5"/>
    <w:rsid w:val="008274E7"/>
    <w:rsid w:val="008430D7"/>
    <w:rsid w:val="00845C44"/>
    <w:rsid w:val="008618C8"/>
    <w:rsid w:val="0086734E"/>
    <w:rsid w:val="00880CCF"/>
    <w:rsid w:val="008938D8"/>
    <w:rsid w:val="008A1D9D"/>
    <w:rsid w:val="008A2FE1"/>
    <w:rsid w:val="008B6BA6"/>
    <w:rsid w:val="008D16FB"/>
    <w:rsid w:val="008E0846"/>
    <w:rsid w:val="008E4921"/>
    <w:rsid w:val="008E690B"/>
    <w:rsid w:val="008F0E3F"/>
    <w:rsid w:val="009045A5"/>
    <w:rsid w:val="00905FB4"/>
    <w:rsid w:val="00906E23"/>
    <w:rsid w:val="00910D00"/>
    <w:rsid w:val="00926380"/>
    <w:rsid w:val="00945854"/>
    <w:rsid w:val="009514C5"/>
    <w:rsid w:val="009619B6"/>
    <w:rsid w:val="00965AB8"/>
    <w:rsid w:val="0096745D"/>
    <w:rsid w:val="00972296"/>
    <w:rsid w:val="00980F39"/>
    <w:rsid w:val="00981086"/>
    <w:rsid w:val="00995B1D"/>
    <w:rsid w:val="009A3444"/>
    <w:rsid w:val="009A3625"/>
    <w:rsid w:val="009A4223"/>
    <w:rsid w:val="009A4658"/>
    <w:rsid w:val="009B0347"/>
    <w:rsid w:val="009B1D8E"/>
    <w:rsid w:val="009B6360"/>
    <w:rsid w:val="009C430D"/>
    <w:rsid w:val="009C6632"/>
    <w:rsid w:val="009C7E2F"/>
    <w:rsid w:val="009D3734"/>
    <w:rsid w:val="009D51E5"/>
    <w:rsid w:val="009D6AA5"/>
    <w:rsid w:val="009F3FE3"/>
    <w:rsid w:val="00A01791"/>
    <w:rsid w:val="00A13A5D"/>
    <w:rsid w:val="00A15F38"/>
    <w:rsid w:val="00A2297F"/>
    <w:rsid w:val="00A23216"/>
    <w:rsid w:val="00A23AE8"/>
    <w:rsid w:val="00A53071"/>
    <w:rsid w:val="00A6187D"/>
    <w:rsid w:val="00A61ED5"/>
    <w:rsid w:val="00A650FA"/>
    <w:rsid w:val="00A75908"/>
    <w:rsid w:val="00A9098C"/>
    <w:rsid w:val="00A91328"/>
    <w:rsid w:val="00A96A4E"/>
    <w:rsid w:val="00AA1B4D"/>
    <w:rsid w:val="00AA49D6"/>
    <w:rsid w:val="00AB3C30"/>
    <w:rsid w:val="00AB51F9"/>
    <w:rsid w:val="00AC4A61"/>
    <w:rsid w:val="00AC4DD2"/>
    <w:rsid w:val="00AD2353"/>
    <w:rsid w:val="00AD6A72"/>
    <w:rsid w:val="00AD775E"/>
    <w:rsid w:val="00AE05D2"/>
    <w:rsid w:val="00AE0AE6"/>
    <w:rsid w:val="00AE2121"/>
    <w:rsid w:val="00AE6762"/>
    <w:rsid w:val="00AE7F78"/>
    <w:rsid w:val="00AF0D11"/>
    <w:rsid w:val="00AF282B"/>
    <w:rsid w:val="00AF4651"/>
    <w:rsid w:val="00B01C55"/>
    <w:rsid w:val="00B0608D"/>
    <w:rsid w:val="00B11526"/>
    <w:rsid w:val="00B14891"/>
    <w:rsid w:val="00B14F5A"/>
    <w:rsid w:val="00B20508"/>
    <w:rsid w:val="00B205B7"/>
    <w:rsid w:val="00B21B6D"/>
    <w:rsid w:val="00B21D34"/>
    <w:rsid w:val="00B34ADA"/>
    <w:rsid w:val="00B362FF"/>
    <w:rsid w:val="00B607EE"/>
    <w:rsid w:val="00B64B1E"/>
    <w:rsid w:val="00B727C5"/>
    <w:rsid w:val="00B72D0D"/>
    <w:rsid w:val="00B736F7"/>
    <w:rsid w:val="00B75DDB"/>
    <w:rsid w:val="00B859DE"/>
    <w:rsid w:val="00BB047B"/>
    <w:rsid w:val="00BB0BE5"/>
    <w:rsid w:val="00BB4562"/>
    <w:rsid w:val="00BB5059"/>
    <w:rsid w:val="00BC4461"/>
    <w:rsid w:val="00BC535B"/>
    <w:rsid w:val="00BC6272"/>
    <w:rsid w:val="00BC7273"/>
    <w:rsid w:val="00BD353B"/>
    <w:rsid w:val="00BE16F0"/>
    <w:rsid w:val="00BE676C"/>
    <w:rsid w:val="00BF4048"/>
    <w:rsid w:val="00BF6B5A"/>
    <w:rsid w:val="00C0122B"/>
    <w:rsid w:val="00C07DAF"/>
    <w:rsid w:val="00C15257"/>
    <w:rsid w:val="00C4209F"/>
    <w:rsid w:val="00C44874"/>
    <w:rsid w:val="00C45906"/>
    <w:rsid w:val="00C5170E"/>
    <w:rsid w:val="00C5654E"/>
    <w:rsid w:val="00C62E3B"/>
    <w:rsid w:val="00C63846"/>
    <w:rsid w:val="00C64868"/>
    <w:rsid w:val="00C64D3A"/>
    <w:rsid w:val="00C721E6"/>
    <w:rsid w:val="00C73AC4"/>
    <w:rsid w:val="00C901D8"/>
    <w:rsid w:val="00C944AE"/>
    <w:rsid w:val="00C95FC2"/>
    <w:rsid w:val="00CA0881"/>
    <w:rsid w:val="00CA622F"/>
    <w:rsid w:val="00CB0CAD"/>
    <w:rsid w:val="00CB3F36"/>
    <w:rsid w:val="00CB60CE"/>
    <w:rsid w:val="00CD0D39"/>
    <w:rsid w:val="00CD0ED6"/>
    <w:rsid w:val="00CD2229"/>
    <w:rsid w:val="00CD3116"/>
    <w:rsid w:val="00CE35A5"/>
    <w:rsid w:val="00D015F4"/>
    <w:rsid w:val="00D14012"/>
    <w:rsid w:val="00D17715"/>
    <w:rsid w:val="00D2214F"/>
    <w:rsid w:val="00D312C9"/>
    <w:rsid w:val="00D31D68"/>
    <w:rsid w:val="00D44DB6"/>
    <w:rsid w:val="00D47603"/>
    <w:rsid w:val="00D57B1D"/>
    <w:rsid w:val="00D60C5E"/>
    <w:rsid w:val="00D637B9"/>
    <w:rsid w:val="00D749EE"/>
    <w:rsid w:val="00D87E48"/>
    <w:rsid w:val="00DA3E79"/>
    <w:rsid w:val="00DA5C3A"/>
    <w:rsid w:val="00DB39E3"/>
    <w:rsid w:val="00DC1640"/>
    <w:rsid w:val="00DC3034"/>
    <w:rsid w:val="00DD1F89"/>
    <w:rsid w:val="00DD6793"/>
    <w:rsid w:val="00DE3C23"/>
    <w:rsid w:val="00E037D2"/>
    <w:rsid w:val="00E0474E"/>
    <w:rsid w:val="00E07A22"/>
    <w:rsid w:val="00E10789"/>
    <w:rsid w:val="00E16AC8"/>
    <w:rsid w:val="00E17475"/>
    <w:rsid w:val="00E26A2C"/>
    <w:rsid w:val="00E406B9"/>
    <w:rsid w:val="00E44E7D"/>
    <w:rsid w:val="00E52A62"/>
    <w:rsid w:val="00E61802"/>
    <w:rsid w:val="00E61D82"/>
    <w:rsid w:val="00E73AE2"/>
    <w:rsid w:val="00E76B2D"/>
    <w:rsid w:val="00E77AB2"/>
    <w:rsid w:val="00E80310"/>
    <w:rsid w:val="00E83810"/>
    <w:rsid w:val="00E864DC"/>
    <w:rsid w:val="00E93F01"/>
    <w:rsid w:val="00EA223A"/>
    <w:rsid w:val="00EA5B47"/>
    <w:rsid w:val="00EB0F00"/>
    <w:rsid w:val="00EB71B9"/>
    <w:rsid w:val="00EB7411"/>
    <w:rsid w:val="00EB7EAC"/>
    <w:rsid w:val="00EC5C6F"/>
    <w:rsid w:val="00EE38B8"/>
    <w:rsid w:val="00EF32D6"/>
    <w:rsid w:val="00EF69E4"/>
    <w:rsid w:val="00F1196E"/>
    <w:rsid w:val="00F229B7"/>
    <w:rsid w:val="00F26AA1"/>
    <w:rsid w:val="00F3324F"/>
    <w:rsid w:val="00F366BE"/>
    <w:rsid w:val="00F46A1B"/>
    <w:rsid w:val="00F64EB4"/>
    <w:rsid w:val="00F726DE"/>
    <w:rsid w:val="00F740AD"/>
    <w:rsid w:val="00F76529"/>
    <w:rsid w:val="00F918A9"/>
    <w:rsid w:val="00F96A9B"/>
    <w:rsid w:val="00FA3362"/>
    <w:rsid w:val="00FB572D"/>
    <w:rsid w:val="00FB5F03"/>
    <w:rsid w:val="00FC6746"/>
    <w:rsid w:val="00FE57EA"/>
    <w:rsid w:val="00FE60FF"/>
    <w:rsid w:val="00FF03AF"/>
    <w:rsid w:val="00FF3C31"/>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70C6"/>
  <w15:chartTrackingRefBased/>
  <w15:docId w15:val="{4A9CC63C-CF58-46DA-8110-2BBD90F4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6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B2D"/>
    <w:rPr>
      <w:sz w:val="20"/>
      <w:szCs w:val="20"/>
    </w:rPr>
  </w:style>
  <w:style w:type="character" w:styleId="FootnoteReference">
    <w:name w:val="footnote reference"/>
    <w:basedOn w:val="DefaultParagraphFont"/>
    <w:uiPriority w:val="99"/>
    <w:semiHidden/>
    <w:unhideWhenUsed/>
    <w:rsid w:val="00E76B2D"/>
    <w:rPr>
      <w:vertAlign w:val="superscript"/>
    </w:rPr>
  </w:style>
  <w:style w:type="paragraph" w:styleId="Header">
    <w:name w:val="header"/>
    <w:basedOn w:val="Normal"/>
    <w:link w:val="HeaderChar"/>
    <w:uiPriority w:val="99"/>
    <w:unhideWhenUsed/>
    <w:rsid w:val="001F1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550"/>
  </w:style>
  <w:style w:type="paragraph" w:styleId="Footer">
    <w:name w:val="footer"/>
    <w:basedOn w:val="Normal"/>
    <w:link w:val="FooterChar"/>
    <w:uiPriority w:val="99"/>
    <w:unhideWhenUsed/>
    <w:rsid w:val="001F1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550"/>
  </w:style>
  <w:style w:type="paragraph" w:styleId="ListParagraph">
    <w:name w:val="List Paragraph"/>
    <w:basedOn w:val="Normal"/>
    <w:uiPriority w:val="34"/>
    <w:qFormat/>
    <w:rsid w:val="004B60D8"/>
    <w:pPr>
      <w:ind w:left="720"/>
      <w:contextualSpacing/>
    </w:pPr>
  </w:style>
  <w:style w:type="paragraph" w:styleId="BalloonText">
    <w:name w:val="Balloon Text"/>
    <w:basedOn w:val="Normal"/>
    <w:link w:val="BalloonTextChar"/>
    <w:uiPriority w:val="99"/>
    <w:semiHidden/>
    <w:unhideWhenUsed/>
    <w:rsid w:val="00FC6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46"/>
    <w:rPr>
      <w:rFonts w:ascii="Segoe UI" w:hAnsi="Segoe UI" w:cs="Segoe UI"/>
      <w:sz w:val="18"/>
      <w:szCs w:val="18"/>
    </w:rPr>
  </w:style>
  <w:style w:type="table" w:styleId="TableGrid">
    <w:name w:val="Table Grid"/>
    <w:basedOn w:val="TableNormal"/>
    <w:uiPriority w:val="39"/>
    <w:rsid w:val="00D1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3506"/>
    <w:rPr>
      <w:b/>
      <w:bCs/>
    </w:rPr>
  </w:style>
  <w:style w:type="paragraph" w:styleId="NormalWeb">
    <w:name w:val="Normal (Web)"/>
    <w:basedOn w:val="Normal"/>
    <w:uiPriority w:val="99"/>
    <w:semiHidden/>
    <w:unhideWhenUsed/>
    <w:rsid w:val="00DC30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47141">
      <w:bodyDiv w:val="1"/>
      <w:marLeft w:val="0"/>
      <w:marRight w:val="0"/>
      <w:marTop w:val="0"/>
      <w:marBottom w:val="0"/>
      <w:divBdr>
        <w:top w:val="none" w:sz="0" w:space="0" w:color="auto"/>
        <w:left w:val="none" w:sz="0" w:space="0" w:color="auto"/>
        <w:bottom w:val="none" w:sz="0" w:space="0" w:color="auto"/>
        <w:right w:val="none" w:sz="0" w:space="0" w:color="auto"/>
      </w:divBdr>
    </w:div>
    <w:div w:id="17634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E2A21-0A51-402C-85C4-B4D29F3A7F51}">
  <ds:schemaRefs>
    <ds:schemaRef ds:uri="http://schemas.openxmlformats.org/officeDocument/2006/bibliography"/>
  </ds:schemaRefs>
</ds:datastoreItem>
</file>

<file path=customXml/itemProps2.xml><?xml version="1.0" encoding="utf-8"?>
<ds:datastoreItem xmlns:ds="http://schemas.openxmlformats.org/officeDocument/2006/customXml" ds:itemID="{88AB575F-A42D-474B-B17E-8BEC22359BC1}"/>
</file>

<file path=customXml/itemProps3.xml><?xml version="1.0" encoding="utf-8"?>
<ds:datastoreItem xmlns:ds="http://schemas.openxmlformats.org/officeDocument/2006/customXml" ds:itemID="{26CDF2F4-64A1-47B3-AC48-94E11FC1746F}"/>
</file>

<file path=customXml/itemProps4.xml><?xml version="1.0" encoding="utf-8"?>
<ds:datastoreItem xmlns:ds="http://schemas.openxmlformats.org/officeDocument/2006/customXml" ds:itemID="{10C8E8A9-6C73-48B7-A0A9-580920A6E73A}"/>
</file>

<file path=docProps/app.xml><?xml version="1.0" encoding="utf-8"?>
<Properties xmlns="http://schemas.openxmlformats.org/officeDocument/2006/extended-properties" xmlns:vt="http://schemas.openxmlformats.org/officeDocument/2006/docPropsVTypes">
  <Template>Normal</Template>
  <TotalTime>86</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Bao Anh</dc:creator>
  <cp:keywords/>
  <dc:description/>
  <cp:lastModifiedBy>Bui Bao Anh</cp:lastModifiedBy>
  <cp:revision>7</cp:revision>
  <cp:lastPrinted>2025-02-06T03:29:00Z</cp:lastPrinted>
  <dcterms:created xsi:type="dcterms:W3CDTF">2025-02-06T02:00:00Z</dcterms:created>
  <dcterms:modified xsi:type="dcterms:W3CDTF">2025-02-06T03:48:00Z</dcterms:modified>
</cp:coreProperties>
</file>